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11B40" w14:textId="5961321E" w:rsidR="002A7129" w:rsidRDefault="002A7129" w:rsidP="00F866AE">
      <w:pPr>
        <w:widowControl/>
        <w:shd w:val="clear" w:color="auto" w:fill="FFFFFF"/>
        <w:spacing w:line="580" w:lineRule="exact"/>
        <w:jc w:val="center"/>
        <w:rPr>
          <w:rFonts w:ascii="方正小标宋简体" w:eastAsia="方正小标宋简体"/>
          <w:sz w:val="44"/>
          <w:szCs w:val="44"/>
        </w:rPr>
      </w:pPr>
      <w:r>
        <w:rPr>
          <w:rFonts w:ascii="方正小标宋简体" w:eastAsia="方正小标宋简体" w:hint="eastAsia"/>
          <w:sz w:val="44"/>
          <w:szCs w:val="44"/>
        </w:rPr>
        <w:t>合肥经济技术开发区产业引导基金</w:t>
      </w:r>
    </w:p>
    <w:p w14:paraId="630F336D" w14:textId="77777777" w:rsidR="002A7129" w:rsidRDefault="002A7129" w:rsidP="00F866AE">
      <w:pPr>
        <w:widowControl/>
        <w:shd w:val="clear" w:color="auto" w:fill="FFFFFF"/>
        <w:spacing w:line="580" w:lineRule="exact"/>
        <w:jc w:val="center"/>
        <w:rPr>
          <w:rFonts w:ascii="方正小标宋简体" w:eastAsia="方正小标宋简体"/>
          <w:sz w:val="44"/>
          <w:szCs w:val="44"/>
        </w:rPr>
      </w:pPr>
      <w:r>
        <w:rPr>
          <w:rFonts w:ascii="方正小标宋简体" w:eastAsia="方正小标宋简体" w:hint="eastAsia"/>
          <w:sz w:val="44"/>
          <w:szCs w:val="44"/>
        </w:rPr>
        <w:t>管理暂行办法</w:t>
      </w:r>
    </w:p>
    <w:p w14:paraId="5934B9E2" w14:textId="77777777" w:rsidR="002A7129" w:rsidRDefault="002A7129" w:rsidP="002A7129">
      <w:pPr>
        <w:widowControl/>
        <w:shd w:val="clear" w:color="auto" w:fill="FFFFFF"/>
        <w:spacing w:line="592" w:lineRule="atLeast"/>
        <w:jc w:val="center"/>
        <w:rPr>
          <w:rFonts w:ascii="方正小标宋简体" w:eastAsia="方正小标宋简体"/>
          <w:sz w:val="44"/>
          <w:szCs w:val="44"/>
        </w:rPr>
      </w:pPr>
    </w:p>
    <w:p w14:paraId="56CBF269" w14:textId="77777777" w:rsidR="002A7129" w:rsidRDefault="002A7129" w:rsidP="002A7129">
      <w:pPr>
        <w:widowControl/>
        <w:shd w:val="clear" w:color="auto" w:fill="FFFFFF"/>
        <w:spacing w:before="90" w:after="90" w:line="592" w:lineRule="exact"/>
        <w:jc w:val="center"/>
        <w:rPr>
          <w:rFonts w:ascii="黑体" w:eastAsia="黑体"/>
          <w:sz w:val="32"/>
          <w:szCs w:val="32"/>
        </w:rPr>
      </w:pPr>
      <w:r>
        <w:rPr>
          <w:rFonts w:ascii="黑体" w:eastAsia="黑体" w:hint="eastAsia"/>
          <w:sz w:val="32"/>
          <w:szCs w:val="32"/>
        </w:rPr>
        <w:t>第一章</w:t>
      </w:r>
      <w:r>
        <w:rPr>
          <w:rFonts w:ascii="黑体" w:eastAsia="黑体"/>
          <w:sz w:val="32"/>
          <w:szCs w:val="32"/>
        </w:rPr>
        <w:t> </w:t>
      </w:r>
      <w:r>
        <w:rPr>
          <w:rFonts w:ascii="黑体" w:eastAsia="黑体" w:hint="eastAsia"/>
          <w:sz w:val="32"/>
          <w:szCs w:val="32"/>
        </w:rPr>
        <w:t>总</w:t>
      </w:r>
      <w:r>
        <w:rPr>
          <w:rFonts w:ascii="黑体" w:eastAsia="黑体"/>
          <w:sz w:val="32"/>
          <w:szCs w:val="32"/>
        </w:rPr>
        <w:t> </w:t>
      </w:r>
      <w:r>
        <w:rPr>
          <w:rFonts w:ascii="黑体" w:eastAsia="黑体" w:hint="eastAsia"/>
          <w:sz w:val="32"/>
          <w:szCs w:val="32"/>
        </w:rPr>
        <w:t>则</w:t>
      </w:r>
    </w:p>
    <w:p w14:paraId="691F81C8" w14:textId="77777777" w:rsidR="002A7129" w:rsidRDefault="002A7129" w:rsidP="002A7129">
      <w:pPr>
        <w:widowControl/>
        <w:shd w:val="clear" w:color="auto" w:fill="FFFFFF"/>
        <w:spacing w:line="592" w:lineRule="atLeast"/>
        <w:ind w:firstLineChars="200" w:firstLine="640"/>
        <w:jc w:val="left"/>
        <w:rPr>
          <w:rFonts w:ascii="仿宋_GB2312" w:eastAsia="仿宋_GB2312"/>
          <w:sz w:val="32"/>
          <w:szCs w:val="32"/>
        </w:rPr>
      </w:pPr>
      <w:r>
        <w:rPr>
          <w:rFonts w:ascii="黑体" w:eastAsia="黑体" w:hAnsi="黑体" w:cs="宋体" w:hint="eastAsia"/>
          <w:kern w:val="0"/>
          <w:sz w:val="32"/>
          <w:szCs w:val="32"/>
        </w:rPr>
        <w:t xml:space="preserve">第一条 </w:t>
      </w:r>
      <w:r>
        <w:rPr>
          <w:rFonts w:ascii="仿宋_GB2312" w:eastAsia="仿宋_GB2312" w:hint="eastAsia"/>
          <w:sz w:val="32"/>
          <w:szCs w:val="32"/>
        </w:rPr>
        <w:t>为优化国有资本投资方式，充分发挥国有资本的引导作用和放大效应，提高产业引导基金（以下简称引导基金）使用效益，规范引导基金管理，促进引导基金持续健康运行，根据有关法律法规和政策规定，结合我区实际，制定本办法。</w:t>
      </w:r>
    </w:p>
    <w:p w14:paraId="78C2B51D" w14:textId="6E8B194F"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第二条</w:t>
      </w:r>
      <w:r>
        <w:rPr>
          <w:rFonts w:ascii="仿宋_GB2312" w:eastAsia="仿宋_GB2312"/>
          <w:sz w:val="32"/>
          <w:szCs w:val="32"/>
        </w:rPr>
        <w:t xml:space="preserve"> </w:t>
      </w:r>
      <w:r>
        <w:rPr>
          <w:rFonts w:ascii="仿宋_GB2312" w:eastAsia="仿宋_GB2312" w:hint="eastAsia"/>
          <w:sz w:val="32"/>
          <w:szCs w:val="32"/>
        </w:rPr>
        <w:t>本</w:t>
      </w:r>
      <w:r w:rsidRPr="00466FF2">
        <w:rPr>
          <w:rFonts w:ascii="仿宋_GB2312" w:eastAsia="仿宋_GB2312" w:hint="eastAsia"/>
          <w:sz w:val="32"/>
          <w:szCs w:val="32"/>
        </w:rPr>
        <w:t>办法所称引导基金，是指区属国有企业出资设立的，采用股权投资等市场化方式，引导社会资本投资我区</w:t>
      </w:r>
      <w:r w:rsidRPr="00466FF2">
        <w:rPr>
          <w:rFonts w:ascii="仿宋_GB2312" w:eastAsia="仿宋_GB2312" w:hAnsi="仿宋" w:cs="仿宋" w:hint="eastAsia"/>
          <w:kern w:val="0"/>
          <w:sz w:val="32"/>
          <w:szCs w:val="32"/>
        </w:rPr>
        <w:t>先进制造业、现代服务业等优势主导</w:t>
      </w:r>
      <w:r w:rsidRPr="00466FF2">
        <w:rPr>
          <w:rFonts w:ascii="仿宋_GB2312" w:eastAsia="仿宋_GB2312" w:hint="eastAsia"/>
          <w:sz w:val="32"/>
          <w:szCs w:val="32"/>
        </w:rPr>
        <w:t>产业发展的重点领域和薄弱环节，支持优势主导产业发展的投资基金</w:t>
      </w:r>
      <w:r w:rsidR="0079325F">
        <w:rPr>
          <w:rFonts w:ascii="仿宋_GB2312" w:eastAsia="仿宋_GB2312" w:hint="eastAsia"/>
          <w:sz w:val="32"/>
          <w:szCs w:val="32"/>
        </w:rPr>
        <w:t>，重点支持成长期、成熟期企业</w:t>
      </w:r>
      <w:r>
        <w:rPr>
          <w:rFonts w:ascii="仿宋_GB2312" w:eastAsia="仿宋_GB2312" w:hint="eastAsia"/>
          <w:sz w:val="32"/>
          <w:szCs w:val="32"/>
        </w:rPr>
        <w:t>。</w:t>
      </w:r>
    </w:p>
    <w:p w14:paraId="60AB031C" w14:textId="00B89BB8"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第三条</w:t>
      </w:r>
      <w:r>
        <w:rPr>
          <w:rFonts w:ascii="仿宋_GB2312" w:eastAsia="仿宋_GB2312" w:hint="eastAsia"/>
          <w:sz w:val="32"/>
          <w:szCs w:val="32"/>
        </w:rPr>
        <w:t xml:space="preserve"> </w:t>
      </w:r>
      <w:r w:rsidRPr="00466FF2">
        <w:rPr>
          <w:rFonts w:ascii="仿宋_GB2312" w:eastAsia="仿宋_GB2312" w:hint="eastAsia"/>
          <w:sz w:val="32"/>
          <w:szCs w:val="32"/>
        </w:rPr>
        <w:t>引导基金</w:t>
      </w:r>
      <w:r w:rsidRPr="00466FF2">
        <w:rPr>
          <w:rFonts w:ascii="仿宋_GB2312" w:eastAsia="仿宋_GB2312" w:hAnsi="仿宋" w:cs="仿宋" w:hint="eastAsia"/>
          <w:kern w:val="0"/>
          <w:sz w:val="32"/>
          <w:szCs w:val="32"/>
        </w:rPr>
        <w:t>应坚持服务我区实体经济发展，</w:t>
      </w:r>
      <w:r w:rsidRPr="00466FF2">
        <w:rPr>
          <w:rFonts w:ascii="仿宋_GB2312" w:eastAsia="仿宋_GB2312" w:hint="eastAsia"/>
          <w:sz w:val="32"/>
          <w:szCs w:val="32"/>
        </w:rPr>
        <w:t>投资方向应符合我区区域规划、产业政策、投资政策和其他国家宏观管理政策，能够充分发挥引导资金在特定领域的引导作用和放大效应，有效提高引导资金使用效率。</w:t>
      </w:r>
      <w:r w:rsidRPr="00BA5717">
        <w:rPr>
          <w:rFonts w:ascii="仿宋_GB2312" w:eastAsia="仿宋_GB2312" w:hint="eastAsia"/>
          <w:sz w:val="32"/>
          <w:szCs w:val="32"/>
        </w:rPr>
        <w:t>我区引导基金</w:t>
      </w:r>
      <w:r w:rsidRPr="00BA5717">
        <w:rPr>
          <w:rFonts w:ascii="仿宋_GB2312" w:eastAsia="仿宋_GB2312" w:hAnsi="仿宋" w:cs="仿宋" w:hint="eastAsia"/>
          <w:kern w:val="0"/>
          <w:sz w:val="32"/>
          <w:szCs w:val="32"/>
        </w:rPr>
        <w:t>主要</w:t>
      </w:r>
      <w:r w:rsidRPr="00BA5717">
        <w:rPr>
          <w:rFonts w:ascii="仿宋_GB2312" w:eastAsia="仿宋_GB2312" w:hint="eastAsia"/>
          <w:sz w:val="32"/>
          <w:szCs w:val="32"/>
        </w:rPr>
        <w:t>支持智能家电、电子信息、汽车及零部件、装备制造、绿色节能建筑、生物医药及高端医疗器械等我区优势主导产业，促进产业重点突破和跨越发展</w:t>
      </w:r>
      <w:r w:rsidR="0079325F" w:rsidRPr="00BA5717">
        <w:rPr>
          <w:rFonts w:ascii="仿宋_GB2312" w:eastAsia="仿宋_GB2312" w:hint="eastAsia"/>
          <w:sz w:val="32"/>
          <w:szCs w:val="32"/>
        </w:rPr>
        <w:t>，</w:t>
      </w:r>
      <w:r w:rsidR="0079325F">
        <w:rPr>
          <w:rFonts w:ascii="仿宋_GB2312" w:eastAsia="仿宋_GB2312" w:hint="eastAsia"/>
          <w:sz w:val="32"/>
          <w:szCs w:val="32"/>
        </w:rPr>
        <w:t>引导基金应积极参与国</w:t>
      </w:r>
      <w:r w:rsidR="0079325F">
        <w:rPr>
          <w:rFonts w:ascii="仿宋_GB2312" w:eastAsia="仿宋_GB2312" w:hint="eastAsia"/>
          <w:sz w:val="32"/>
          <w:szCs w:val="32"/>
        </w:rPr>
        <w:lastRenderedPageBreak/>
        <w:t>家级、省级</w:t>
      </w:r>
      <w:r w:rsidR="00B50CA9">
        <w:rPr>
          <w:rFonts w:ascii="仿宋_GB2312" w:eastAsia="仿宋_GB2312" w:hint="eastAsia"/>
          <w:sz w:val="32"/>
          <w:szCs w:val="32"/>
        </w:rPr>
        <w:t>、市级</w:t>
      </w:r>
      <w:r w:rsidR="0079325F">
        <w:rPr>
          <w:rFonts w:ascii="仿宋_GB2312" w:eastAsia="仿宋_GB2312" w:hint="eastAsia"/>
          <w:sz w:val="32"/>
          <w:szCs w:val="32"/>
        </w:rPr>
        <w:t>产业基金，争取国家级、省级基金、市级基金对我区</w:t>
      </w:r>
      <w:r w:rsidR="00B50CA9">
        <w:rPr>
          <w:rFonts w:ascii="仿宋_GB2312" w:eastAsia="仿宋_GB2312" w:hint="eastAsia"/>
          <w:sz w:val="32"/>
          <w:szCs w:val="32"/>
        </w:rPr>
        <w:t>产业</w:t>
      </w:r>
      <w:r w:rsidR="0079325F">
        <w:rPr>
          <w:rFonts w:ascii="仿宋_GB2312" w:eastAsia="仿宋_GB2312" w:hint="eastAsia"/>
          <w:sz w:val="32"/>
          <w:szCs w:val="32"/>
        </w:rPr>
        <w:t>的支持</w:t>
      </w:r>
      <w:r w:rsidR="0079325F" w:rsidRPr="00466FF2">
        <w:rPr>
          <w:rFonts w:ascii="仿宋_GB2312" w:eastAsia="仿宋_GB2312" w:hint="eastAsia"/>
          <w:sz w:val="32"/>
          <w:szCs w:val="32"/>
        </w:rPr>
        <w:t>。</w:t>
      </w:r>
      <w:bookmarkStart w:id="0" w:name="_Hlk509409056"/>
    </w:p>
    <w:bookmarkEnd w:id="0"/>
    <w:p w14:paraId="1BA32077" w14:textId="77777777" w:rsidR="002A7129" w:rsidRDefault="002A7129" w:rsidP="002A7129">
      <w:pPr>
        <w:widowControl/>
        <w:shd w:val="clear" w:color="auto" w:fill="FFFFFF"/>
        <w:spacing w:line="592" w:lineRule="atLeast"/>
        <w:ind w:firstLine="640"/>
        <w:jc w:val="left"/>
        <w:rPr>
          <w:rFonts w:ascii="仿宋" w:eastAsia="仿宋" w:hAnsi="仿宋" w:cs="仿宋"/>
          <w:sz w:val="32"/>
          <w:szCs w:val="32"/>
        </w:rPr>
      </w:pPr>
      <w:r>
        <w:rPr>
          <w:rFonts w:ascii="黑体" w:eastAsia="黑体" w:hAnsi="黑体" w:cs="宋体" w:hint="eastAsia"/>
          <w:kern w:val="0"/>
          <w:sz w:val="32"/>
          <w:szCs w:val="32"/>
        </w:rPr>
        <w:t xml:space="preserve">第四条 </w:t>
      </w:r>
      <w:r w:rsidRPr="00466FF2">
        <w:rPr>
          <w:rFonts w:ascii="仿宋_GB2312" w:eastAsia="仿宋_GB2312" w:hAnsi="仿宋" w:cs="仿宋" w:hint="eastAsia"/>
          <w:kern w:val="0"/>
          <w:sz w:val="32"/>
          <w:szCs w:val="32"/>
        </w:rPr>
        <w:t>引导基金应根据我区优势主导产业发展规划和产业政策，围绕我区优势主导产业发展的重点领域和薄弱环节，加强与社会资本合作，合理确定基金数量和规模，引导社会资本促进我区优势主导产业发展和产业转型升级。</w:t>
      </w:r>
    </w:p>
    <w:p w14:paraId="5C214028"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第五条</w:t>
      </w:r>
      <w:r>
        <w:rPr>
          <w:rFonts w:ascii="仿宋_GB2312" w:eastAsia="仿宋_GB2312"/>
          <w:sz w:val="32"/>
          <w:szCs w:val="32"/>
        </w:rPr>
        <w:t xml:space="preserve"> </w:t>
      </w:r>
      <w:r>
        <w:rPr>
          <w:rFonts w:ascii="仿宋_GB2312" w:eastAsia="仿宋_GB2312" w:hint="eastAsia"/>
          <w:sz w:val="32"/>
          <w:szCs w:val="32"/>
        </w:rPr>
        <w:t>引导基金按照“国有资本引导、市场化运作、科学决策、防范风险”的原则进行管理运作。</w:t>
      </w:r>
    </w:p>
    <w:p w14:paraId="02A730F3" w14:textId="77777777" w:rsidR="002A7129" w:rsidRDefault="002A7129" w:rsidP="002A7129">
      <w:pPr>
        <w:widowControl/>
        <w:shd w:val="clear" w:color="auto" w:fill="FFFFFF"/>
        <w:spacing w:line="592" w:lineRule="atLeast"/>
        <w:ind w:firstLine="640"/>
        <w:jc w:val="left"/>
        <w:rPr>
          <w:rFonts w:ascii="仿宋_GB2312" w:eastAsia="仿宋_GB2312"/>
          <w:sz w:val="18"/>
          <w:szCs w:val="18"/>
        </w:rPr>
      </w:pPr>
    </w:p>
    <w:p w14:paraId="630D9BC3" w14:textId="77777777" w:rsidR="002A7129" w:rsidRDefault="002A7129" w:rsidP="002A7129">
      <w:pPr>
        <w:widowControl/>
        <w:shd w:val="clear" w:color="auto" w:fill="FFFFFF"/>
        <w:spacing w:line="592" w:lineRule="atLeast"/>
        <w:jc w:val="center"/>
        <w:rPr>
          <w:rFonts w:ascii="黑体" w:eastAsia="黑体"/>
          <w:sz w:val="32"/>
          <w:szCs w:val="32"/>
        </w:rPr>
      </w:pPr>
      <w:r>
        <w:rPr>
          <w:rFonts w:ascii="黑体" w:eastAsia="黑体" w:hint="eastAsia"/>
          <w:sz w:val="32"/>
          <w:szCs w:val="32"/>
        </w:rPr>
        <w:t>第二章</w:t>
      </w:r>
      <w:r>
        <w:rPr>
          <w:rFonts w:ascii="黑体" w:eastAsia="黑体"/>
          <w:sz w:val="32"/>
          <w:szCs w:val="32"/>
        </w:rPr>
        <w:t xml:space="preserve">  </w:t>
      </w:r>
      <w:r>
        <w:rPr>
          <w:rFonts w:ascii="黑体" w:eastAsia="黑体" w:hint="eastAsia"/>
          <w:sz w:val="32"/>
          <w:szCs w:val="32"/>
        </w:rPr>
        <w:t>设立和管理</w:t>
      </w:r>
    </w:p>
    <w:p w14:paraId="1C1D7E9B"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第六条</w:t>
      </w:r>
      <w:r>
        <w:rPr>
          <w:rFonts w:ascii="仿宋_GB2312" w:eastAsia="仿宋_GB2312" w:hint="eastAsia"/>
          <w:sz w:val="32"/>
          <w:szCs w:val="32"/>
        </w:rPr>
        <w:t xml:space="preserve"> 引导基金的资金主要来源于区属国有企业资本金投入、引导基金自身投资收益，还可适当引入其他出资主体。</w:t>
      </w:r>
    </w:p>
    <w:p w14:paraId="328EC6F8"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第七条 </w:t>
      </w:r>
      <w:r>
        <w:rPr>
          <w:rFonts w:ascii="仿宋_GB2312" w:eastAsia="仿宋_GB2312" w:hint="eastAsia"/>
          <w:sz w:val="32"/>
          <w:szCs w:val="32"/>
        </w:rPr>
        <w:t>区国资委是引导基金的决策和监督机构，按照国资管理有关规定，引导基金重大决策上报区国资委批准。区国资办负责引导基金日常监督管理，财政局、经贸局、招商局、科技局、市场监管局等部门按照职责履行相关监督管理职能。</w:t>
      </w:r>
    </w:p>
    <w:p w14:paraId="2A73D696" w14:textId="77777777" w:rsidR="002A7129" w:rsidRDefault="002A7129" w:rsidP="002A7129">
      <w:pPr>
        <w:widowControl/>
        <w:shd w:val="clear" w:color="auto" w:fill="FFFFFF"/>
        <w:spacing w:line="592" w:lineRule="atLeast"/>
        <w:ind w:firstLine="640"/>
        <w:jc w:val="left"/>
        <w:rPr>
          <w:rFonts w:ascii="黑体" w:eastAsia="黑体" w:hAnsi="黑体" w:cs="宋体"/>
          <w:kern w:val="0"/>
          <w:sz w:val="32"/>
          <w:szCs w:val="32"/>
        </w:rPr>
      </w:pPr>
      <w:r>
        <w:rPr>
          <w:rFonts w:ascii="黑体" w:eastAsia="黑体" w:hAnsi="黑体" w:cs="宋体" w:hint="eastAsia"/>
          <w:kern w:val="0"/>
          <w:sz w:val="32"/>
          <w:szCs w:val="32"/>
        </w:rPr>
        <w:t xml:space="preserve">第八条 </w:t>
      </w:r>
      <w:r>
        <w:rPr>
          <w:rFonts w:ascii="仿宋_GB2312" w:eastAsia="仿宋_GB2312" w:hint="eastAsia"/>
          <w:sz w:val="32"/>
          <w:szCs w:val="32"/>
        </w:rPr>
        <w:t>基金组织形式为公司制。合肥海恒创新投资管理有限公司是我区产业引导基金运作管理机构（以下简称管理机构）。</w:t>
      </w:r>
    </w:p>
    <w:p w14:paraId="38FBFEB3" w14:textId="77777777" w:rsidR="002A7129" w:rsidRDefault="002A7129" w:rsidP="002A7129">
      <w:pPr>
        <w:widowControl/>
        <w:shd w:val="clear" w:color="auto" w:fill="FFFFFF"/>
        <w:ind w:firstLine="641"/>
        <w:jc w:val="left"/>
        <w:rPr>
          <w:rFonts w:ascii="仿宋_GB2312" w:eastAsia="仿宋_GB2312"/>
          <w:sz w:val="32"/>
          <w:szCs w:val="32"/>
        </w:rPr>
      </w:pPr>
      <w:r>
        <w:rPr>
          <w:rFonts w:ascii="黑体" w:eastAsia="黑体" w:hAnsi="黑体" w:cs="宋体" w:hint="eastAsia"/>
          <w:kern w:val="0"/>
          <w:sz w:val="32"/>
          <w:szCs w:val="32"/>
        </w:rPr>
        <w:lastRenderedPageBreak/>
        <w:t>第九条</w:t>
      </w:r>
      <w:r>
        <w:rPr>
          <w:rFonts w:ascii="仿宋_GB2312" w:eastAsia="仿宋_GB2312"/>
          <w:b/>
          <w:sz w:val="32"/>
          <w:szCs w:val="32"/>
        </w:rPr>
        <w:t xml:space="preserve"> </w:t>
      </w:r>
      <w:r>
        <w:rPr>
          <w:rFonts w:ascii="仿宋_GB2312" w:eastAsia="仿宋_GB2312" w:hint="eastAsia"/>
          <w:sz w:val="32"/>
          <w:szCs w:val="32"/>
        </w:rPr>
        <w:t>管理机构负责引导基金日常投资运作，其主要职责如下：</w:t>
      </w:r>
    </w:p>
    <w:p w14:paraId="3666FA6F" w14:textId="09B13650"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（一）建立完善内部决策和风险控制制度；</w:t>
      </w:r>
    </w:p>
    <w:p w14:paraId="27A25343" w14:textId="34F9E027"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（二）对项目开展尽职调查，提出尽职调查意见，拟订引导基金投资、退出方案；</w:t>
      </w:r>
      <w:r w:rsidR="00350F6B" w:rsidDel="00350F6B">
        <w:rPr>
          <w:rFonts w:ascii="仿宋_GB2312" w:eastAsia="仿宋_GB2312" w:hint="eastAsia"/>
          <w:sz w:val="32"/>
          <w:szCs w:val="32"/>
        </w:rPr>
        <w:t xml:space="preserve"> </w:t>
      </w:r>
    </w:p>
    <w:p w14:paraId="1960EA23" w14:textId="6FD4F083"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（三）实施经批准的投资方案，签署投资协议和章程，管理基金投资所形成的股权，实施基金投资所形成股权退出工作；</w:t>
      </w:r>
      <w:r w:rsidR="00350F6B" w:rsidDel="00350F6B">
        <w:rPr>
          <w:rFonts w:ascii="仿宋_GB2312" w:eastAsia="仿宋_GB2312" w:hint="eastAsia"/>
          <w:sz w:val="32"/>
          <w:szCs w:val="32"/>
        </w:rPr>
        <w:t xml:space="preserve"> </w:t>
      </w:r>
    </w:p>
    <w:p w14:paraId="36030E6B" w14:textId="04F86AB1"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（四）监督、指导被投资项目运行情况；</w:t>
      </w:r>
      <w:r w:rsidR="00350F6B" w:rsidDel="00350F6B">
        <w:rPr>
          <w:rFonts w:ascii="仿宋_GB2312" w:eastAsia="仿宋_GB2312" w:hint="eastAsia"/>
          <w:sz w:val="32"/>
          <w:szCs w:val="32"/>
        </w:rPr>
        <w:t xml:space="preserve"> </w:t>
      </w:r>
    </w:p>
    <w:p w14:paraId="2E4CE036" w14:textId="38A44FC3"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（五）定期报告基金运行情况；</w:t>
      </w:r>
      <w:r w:rsidR="00350F6B" w:rsidDel="00350F6B">
        <w:rPr>
          <w:rFonts w:ascii="仿宋_GB2312" w:eastAsia="仿宋_GB2312" w:hint="eastAsia"/>
          <w:sz w:val="32"/>
          <w:szCs w:val="32"/>
        </w:rPr>
        <w:t xml:space="preserve"> </w:t>
      </w:r>
    </w:p>
    <w:p w14:paraId="56423A14" w14:textId="62E61DD2" w:rsidR="002A7129" w:rsidRDefault="002A7129" w:rsidP="002A7129">
      <w:pPr>
        <w:widowControl/>
        <w:shd w:val="clear" w:color="auto" w:fill="FFFFFF"/>
        <w:ind w:firstLine="641"/>
        <w:jc w:val="left"/>
        <w:rPr>
          <w:rFonts w:ascii="仿宋_GB2312" w:eastAsia="仿宋_GB2312"/>
          <w:sz w:val="32"/>
          <w:szCs w:val="32"/>
        </w:rPr>
      </w:pPr>
      <w:r>
        <w:rPr>
          <w:rFonts w:ascii="仿宋_GB2312" w:eastAsia="仿宋_GB2312" w:hint="eastAsia"/>
          <w:sz w:val="32"/>
          <w:szCs w:val="32"/>
        </w:rPr>
        <w:t>（六）完成其他工作。</w:t>
      </w:r>
    </w:p>
    <w:p w14:paraId="45BAEF87" w14:textId="77777777" w:rsidR="002A7129" w:rsidRDefault="002A7129" w:rsidP="002A7129">
      <w:pPr>
        <w:widowControl/>
        <w:shd w:val="clear" w:color="auto" w:fill="FFFFFF"/>
        <w:spacing w:line="592" w:lineRule="atLeast"/>
        <w:ind w:firstLine="640"/>
        <w:jc w:val="left"/>
        <w:rPr>
          <w:rFonts w:ascii="仿宋_GB2312" w:eastAsia="仿宋_GB2312"/>
          <w:sz w:val="18"/>
          <w:szCs w:val="18"/>
        </w:rPr>
      </w:pPr>
    </w:p>
    <w:p w14:paraId="2F83D4DA" w14:textId="77777777" w:rsidR="002A7129" w:rsidRDefault="002A7129" w:rsidP="002A7129">
      <w:pPr>
        <w:widowControl/>
        <w:shd w:val="clear" w:color="auto" w:fill="FFFFFF"/>
        <w:spacing w:line="592" w:lineRule="atLeast"/>
        <w:jc w:val="center"/>
        <w:rPr>
          <w:rFonts w:ascii="黑体" w:eastAsia="黑体"/>
          <w:sz w:val="32"/>
          <w:szCs w:val="32"/>
        </w:rPr>
      </w:pPr>
      <w:r>
        <w:rPr>
          <w:rFonts w:ascii="黑体" w:eastAsia="黑体" w:hint="eastAsia"/>
          <w:sz w:val="32"/>
          <w:szCs w:val="32"/>
        </w:rPr>
        <w:t>第三章</w:t>
      </w:r>
      <w:r>
        <w:rPr>
          <w:rFonts w:ascii="黑体" w:eastAsia="黑体"/>
          <w:sz w:val="32"/>
          <w:szCs w:val="32"/>
        </w:rPr>
        <w:t> </w:t>
      </w:r>
      <w:r>
        <w:rPr>
          <w:rFonts w:ascii="黑体" w:eastAsia="黑体" w:hint="eastAsia"/>
          <w:sz w:val="32"/>
          <w:szCs w:val="32"/>
        </w:rPr>
        <w:t>运作模式</w:t>
      </w:r>
    </w:p>
    <w:p w14:paraId="6F897B9F"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第十条</w:t>
      </w:r>
      <w:r>
        <w:rPr>
          <w:rFonts w:ascii="仿宋_GB2312" w:eastAsia="仿宋_GB2312"/>
          <w:sz w:val="32"/>
          <w:szCs w:val="32"/>
        </w:rPr>
        <w:t xml:space="preserve"> </w:t>
      </w:r>
      <w:r>
        <w:rPr>
          <w:rFonts w:ascii="仿宋_GB2312" w:eastAsia="仿宋_GB2312" w:hint="eastAsia"/>
          <w:sz w:val="32"/>
          <w:szCs w:val="32"/>
        </w:rPr>
        <w:t>引导基金主要采取阶段参股模式运作，经区国资委批准，可采取跟进投资、直接投资、设立增信类产品和其他投资方式运作。</w:t>
      </w:r>
    </w:p>
    <w:p w14:paraId="08586718"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第十一条</w:t>
      </w:r>
      <w:r>
        <w:rPr>
          <w:rFonts w:ascii="仿宋_GB2312" w:eastAsia="仿宋_GB2312" w:hint="eastAsia"/>
          <w:sz w:val="32"/>
          <w:szCs w:val="32"/>
        </w:rPr>
        <w:t xml:space="preserve"> 阶段参股</w:t>
      </w:r>
    </w:p>
    <w:p w14:paraId="4277BF96"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阶段参股是指引导基金以参股方式引导设立子基金（以下简称参股基金）的运作方式。</w:t>
      </w:r>
    </w:p>
    <w:p w14:paraId="06FDBC5B"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参股基金出资方应当按照现行法律法规，根据不同的组织形式，制定基金公司章程或者合伙协议，明确基金设立的目标、基金规模、存续期限、出资方式、投资领域、投资计</w:t>
      </w:r>
      <w:r>
        <w:rPr>
          <w:rFonts w:ascii="仿宋_GB2312" w:eastAsia="仿宋_GB2312" w:hint="eastAsia"/>
          <w:sz w:val="32"/>
          <w:szCs w:val="32"/>
        </w:rPr>
        <w:lastRenderedPageBreak/>
        <w:t>划、决策机制、风险防范、投资退出、基金管理机构、管理费用和收益分配等。</w:t>
      </w:r>
    </w:p>
    <w:p w14:paraId="4F2FA0E3" w14:textId="747F10F3"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（一）参股基金须注册在我区</w:t>
      </w:r>
      <w:r w:rsidR="00287493">
        <w:rPr>
          <w:rFonts w:ascii="仿宋_GB2312" w:eastAsia="仿宋_GB2312" w:hint="eastAsia"/>
          <w:sz w:val="32"/>
          <w:szCs w:val="32"/>
        </w:rPr>
        <w:t>。</w:t>
      </w:r>
    </w:p>
    <w:p w14:paraId="713BF649" w14:textId="77777777" w:rsidR="002A7129" w:rsidRDefault="002A7129" w:rsidP="002A7129">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t>（二）参股基金管理机构必须符合以下条件：</w:t>
      </w:r>
    </w:p>
    <w:p w14:paraId="246435D9"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1.在工商行政管理部门登记；</w:t>
      </w:r>
    </w:p>
    <w:p w14:paraId="33728BE4"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2.注册资本不低于500万元，管理运营投资基金累计规模不低于3亿元，主要股东或合伙人具有较强的综合实力，至少有</w:t>
      </w:r>
      <w:r>
        <w:rPr>
          <w:rFonts w:ascii="仿宋_GB2312" w:eastAsia="仿宋_GB2312"/>
          <w:sz w:val="32"/>
          <w:szCs w:val="32"/>
        </w:rPr>
        <w:t>3</w:t>
      </w:r>
      <w:r>
        <w:rPr>
          <w:rFonts w:ascii="仿宋_GB2312" w:eastAsia="仿宋_GB2312" w:hint="eastAsia"/>
          <w:sz w:val="32"/>
          <w:szCs w:val="32"/>
        </w:rPr>
        <w:t>名具备</w:t>
      </w:r>
      <w:r>
        <w:rPr>
          <w:rFonts w:ascii="仿宋_GB2312" w:eastAsia="仿宋_GB2312"/>
          <w:sz w:val="32"/>
          <w:szCs w:val="32"/>
        </w:rPr>
        <w:t>5</w:t>
      </w:r>
      <w:r>
        <w:rPr>
          <w:rFonts w:ascii="仿宋_GB2312" w:eastAsia="仿宋_GB2312" w:hint="eastAsia"/>
          <w:sz w:val="32"/>
          <w:szCs w:val="32"/>
        </w:rPr>
        <w:t>年以上投资基金管理工作经验的专职高级管理人员；</w:t>
      </w:r>
    </w:p>
    <w:p w14:paraId="4C6D7D4C"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3.根据管理基金规模情况，常驻合肥市工作的管理团队人员不少于3-5人，机构及其管理人员无违法违纪等不良记录；</w:t>
      </w:r>
    </w:p>
    <w:p w14:paraId="1F6CB3CA"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4.至少有</w:t>
      </w:r>
      <w:r>
        <w:rPr>
          <w:rFonts w:ascii="仿宋_GB2312" w:eastAsia="仿宋_GB2312"/>
          <w:sz w:val="32"/>
          <w:szCs w:val="32"/>
        </w:rPr>
        <w:t>3</w:t>
      </w:r>
      <w:r>
        <w:rPr>
          <w:rFonts w:ascii="仿宋_GB2312" w:eastAsia="仿宋_GB2312" w:hint="eastAsia"/>
          <w:sz w:val="32"/>
          <w:szCs w:val="32"/>
        </w:rPr>
        <w:t>个投资成功案例；</w:t>
      </w:r>
    </w:p>
    <w:p w14:paraId="283A046E"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5.管理和运作规范，具有严格合理的投资决策程序和风险控制机制；</w:t>
      </w:r>
    </w:p>
    <w:p w14:paraId="54C8C4B4"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6.按一定比例入股拟设立的参股基金；</w:t>
      </w:r>
    </w:p>
    <w:p w14:paraId="352F17F1" w14:textId="77777777" w:rsidR="002A7129" w:rsidRDefault="002A7129" w:rsidP="002A7129">
      <w:pPr>
        <w:widowControl/>
        <w:shd w:val="clear" w:color="auto" w:fill="FFFFFF"/>
        <w:spacing w:line="592" w:lineRule="atLeast"/>
        <w:ind w:firstLineChars="250" w:firstLine="800"/>
        <w:jc w:val="left"/>
        <w:rPr>
          <w:rFonts w:ascii="仿宋_GB2312" w:eastAsia="仿宋_GB2312"/>
          <w:sz w:val="32"/>
          <w:szCs w:val="32"/>
        </w:rPr>
      </w:pPr>
      <w:r>
        <w:rPr>
          <w:rFonts w:ascii="仿宋_GB2312" w:eastAsia="仿宋_GB2312" w:hint="eastAsia"/>
          <w:sz w:val="32"/>
          <w:szCs w:val="32"/>
        </w:rPr>
        <w:t>7.按照国家企业财务、会计制度规定，有健全的内部财务管理制度和会计核算办法。具有国家规定的私募基金管理人资质，管理团队稳定，具有良好的职业操守和信誉。</w:t>
      </w:r>
    </w:p>
    <w:p w14:paraId="6AB63743" w14:textId="3D482932"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（三）参股基金规模不低于1亿元人民币，引导基金参股比例原则上不超过25%；引导基金可根据投资项目情况采取承诺注资的方式分期到位，与社会资本同步到位；引导基</w:t>
      </w:r>
      <w:r>
        <w:rPr>
          <w:rFonts w:ascii="仿宋_GB2312" w:eastAsia="仿宋_GB2312" w:hint="eastAsia"/>
          <w:sz w:val="32"/>
          <w:szCs w:val="32"/>
        </w:rPr>
        <w:lastRenderedPageBreak/>
        <w:t>金不能成为第一大股东或最大出资人。基金其余资金应依法募集，境外出资人应符合国家相关规定。</w:t>
      </w:r>
    </w:p>
    <w:p w14:paraId="6B7306D0" w14:textId="2E3D41EA"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（四）参股基金应优先投资于我区范围内的企业。当引导基金参股比例超过20%</w:t>
      </w:r>
      <w:r w:rsidR="0079325F">
        <w:rPr>
          <w:rFonts w:ascii="仿宋_GB2312" w:eastAsia="仿宋_GB2312" w:hint="eastAsia"/>
          <w:sz w:val="32"/>
          <w:szCs w:val="32"/>
        </w:rPr>
        <w:t>并低于2</w:t>
      </w:r>
      <w:r w:rsidR="0079325F">
        <w:rPr>
          <w:rFonts w:ascii="仿宋_GB2312" w:eastAsia="仿宋_GB2312"/>
          <w:sz w:val="32"/>
          <w:szCs w:val="32"/>
        </w:rPr>
        <w:t>5%</w:t>
      </w:r>
      <w:r w:rsidR="0079325F">
        <w:rPr>
          <w:rFonts w:ascii="仿宋_GB2312" w:eastAsia="仿宋_GB2312" w:hint="eastAsia"/>
          <w:sz w:val="32"/>
          <w:szCs w:val="32"/>
        </w:rPr>
        <w:t>时</w:t>
      </w:r>
      <w:r>
        <w:rPr>
          <w:rFonts w:ascii="仿宋_GB2312" w:eastAsia="仿宋_GB2312" w:hint="eastAsia"/>
          <w:sz w:val="32"/>
          <w:szCs w:val="32"/>
        </w:rPr>
        <w:t>，参股基金投资于我区范围内企业的资金比例不低于基金实际募资额的50%；当引导基金参股比例在20%以下时，基金投资于我区范围内企业的资金比例不低于引导基金出资规模的2倍。</w:t>
      </w:r>
    </w:p>
    <w:p w14:paraId="36D954F8" w14:textId="77777777" w:rsidR="002A7129" w:rsidRDefault="002A7129" w:rsidP="002A7129">
      <w:pPr>
        <w:widowControl/>
        <w:shd w:val="clear" w:color="auto" w:fill="FFFFFF"/>
        <w:spacing w:line="592" w:lineRule="atLeast"/>
        <w:ind w:firstLine="64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参股基金投资于我区范围内企业的投资金额计算包括：</w:t>
      </w:r>
    </w:p>
    <w:p w14:paraId="4A9D8E3A" w14:textId="77777777" w:rsidR="002A7129" w:rsidRDefault="002A7129" w:rsidP="002A7129">
      <w:pPr>
        <w:widowControl/>
        <w:shd w:val="clear" w:color="auto" w:fill="FFFFFF"/>
        <w:spacing w:line="592" w:lineRule="atLeast"/>
        <w:ind w:firstLine="64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1.参股基金对注册地为我区企业的投资额；</w:t>
      </w:r>
    </w:p>
    <w:p w14:paraId="196622A3" w14:textId="75155CEB"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2.参股基金</w:t>
      </w:r>
      <w:r w:rsidR="0079325F">
        <w:rPr>
          <w:rFonts w:ascii="仿宋_GB2312" w:eastAsia="仿宋_GB2312" w:hint="eastAsia"/>
          <w:sz w:val="32"/>
          <w:szCs w:val="32"/>
        </w:rPr>
        <w:t>对从外地招商引入我区企业的实际投资额（包括外地企业整体搬迁</w:t>
      </w:r>
      <w:bookmarkStart w:id="1" w:name="_GoBack"/>
      <w:r w:rsidR="00527060">
        <w:rPr>
          <w:rFonts w:ascii="仿宋_GB2312" w:eastAsia="仿宋_GB2312" w:hint="eastAsia"/>
          <w:sz w:val="32"/>
          <w:szCs w:val="32"/>
        </w:rPr>
        <w:t>且将工商、税务登记迁</w:t>
      </w:r>
      <w:bookmarkEnd w:id="1"/>
      <w:r w:rsidR="0079325F">
        <w:rPr>
          <w:rFonts w:ascii="仿宋_GB2312" w:eastAsia="仿宋_GB2312" w:hint="eastAsia"/>
          <w:sz w:val="32"/>
          <w:szCs w:val="32"/>
        </w:rPr>
        <w:t>至我区或在我区设立新公司、子公司等的实际投资额）</w:t>
      </w:r>
      <w:r>
        <w:rPr>
          <w:rFonts w:ascii="仿宋_GB2312" w:eastAsia="仿宋_GB2312" w:hint="eastAsia"/>
          <w:sz w:val="32"/>
          <w:szCs w:val="32"/>
        </w:rPr>
        <w:t>。</w:t>
      </w:r>
    </w:p>
    <w:p w14:paraId="7E4B7957" w14:textId="77777777" w:rsidR="002A7129" w:rsidRDefault="002A7129" w:rsidP="002A7129">
      <w:pPr>
        <w:widowControl/>
        <w:shd w:val="clear" w:color="auto" w:fill="FFFFFF"/>
        <w:spacing w:line="592" w:lineRule="atLeast"/>
        <w:ind w:firstLine="420"/>
        <w:jc w:val="left"/>
        <w:rPr>
          <w:rFonts w:ascii="仿宋_GB2312" w:eastAsia="仿宋_GB2312" w:hAnsi="华文仿宋" w:cs="仿宋_GB2312"/>
          <w:kern w:val="0"/>
          <w:sz w:val="32"/>
          <w:szCs w:val="32"/>
        </w:rPr>
      </w:pPr>
      <w:r>
        <w:rPr>
          <w:rFonts w:ascii="仿宋_GB2312" w:eastAsia="仿宋_GB2312" w:hAnsi="华文仿宋" w:cs="仿宋_GB2312" w:hint="eastAsia"/>
          <w:kern w:val="0"/>
          <w:sz w:val="32"/>
          <w:szCs w:val="32"/>
        </w:rPr>
        <w:t>（五）参股基金应当明确下列事项：</w:t>
      </w:r>
    </w:p>
    <w:p w14:paraId="76C81CD0" w14:textId="4C654B71" w:rsidR="002A7129" w:rsidRDefault="005E35D2" w:rsidP="002A7129">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sz w:val="32"/>
          <w:szCs w:val="32"/>
        </w:rPr>
        <w:t>1</w:t>
      </w:r>
      <w:r w:rsidR="002A7129">
        <w:rPr>
          <w:rFonts w:ascii="仿宋_GB2312" w:eastAsia="仿宋_GB2312" w:hint="eastAsia"/>
          <w:sz w:val="32"/>
          <w:szCs w:val="32"/>
        </w:rPr>
        <w:t>.参股基金的主发起人不先于引导基金退出；</w:t>
      </w:r>
    </w:p>
    <w:p w14:paraId="3A1184BA" w14:textId="115E1844" w:rsidR="005E35D2" w:rsidRDefault="0000358A" w:rsidP="002A7129">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sz w:val="32"/>
          <w:szCs w:val="32"/>
        </w:rPr>
        <w:t>2</w:t>
      </w:r>
      <w:r w:rsidR="002A7129">
        <w:rPr>
          <w:rFonts w:ascii="仿宋_GB2312" w:eastAsia="仿宋_GB2312" w:hint="eastAsia"/>
          <w:sz w:val="32"/>
          <w:szCs w:val="32"/>
        </w:rPr>
        <w:t>.引导基金不得作为普通合伙人承担无限责任，不得干预参股基金的日常运作，若</w:t>
      </w:r>
      <w:r w:rsidR="0079325F">
        <w:rPr>
          <w:rFonts w:ascii="仿宋_GB2312" w:eastAsia="仿宋_GB2312" w:hint="eastAsia"/>
          <w:sz w:val="32"/>
          <w:szCs w:val="32"/>
        </w:rPr>
        <w:t>参股基金管理机构</w:t>
      </w:r>
      <w:r w:rsidR="002A7129">
        <w:rPr>
          <w:rFonts w:ascii="仿宋_GB2312" w:eastAsia="仿宋_GB2312" w:hint="eastAsia"/>
          <w:sz w:val="32"/>
          <w:szCs w:val="32"/>
        </w:rPr>
        <w:t>存在违法、违规和偏离政策导向情况，</w:t>
      </w:r>
      <w:r w:rsidR="007E1258">
        <w:rPr>
          <w:rFonts w:ascii="仿宋_GB2312" w:eastAsia="仿宋_GB2312" w:hint="eastAsia"/>
          <w:sz w:val="32"/>
          <w:szCs w:val="32"/>
        </w:rPr>
        <w:t>引导基金</w:t>
      </w:r>
      <w:r w:rsidR="002A7129">
        <w:rPr>
          <w:rFonts w:ascii="仿宋_GB2312" w:eastAsia="仿宋_GB2312" w:hint="eastAsia"/>
          <w:sz w:val="32"/>
          <w:szCs w:val="32"/>
        </w:rPr>
        <w:t>可按照合同约定行使一票否决权；</w:t>
      </w:r>
      <w:r w:rsidR="00C612D2">
        <w:rPr>
          <w:rFonts w:ascii="仿宋_GB2312" w:eastAsia="仿宋_GB2312"/>
          <w:sz w:val="32"/>
          <w:szCs w:val="32"/>
        </w:rPr>
        <w:t xml:space="preserve"> </w:t>
      </w:r>
    </w:p>
    <w:p w14:paraId="7579925E" w14:textId="336E1F34" w:rsidR="002A7129" w:rsidRDefault="002A7129" w:rsidP="002A7129">
      <w:pPr>
        <w:widowControl/>
        <w:shd w:val="clear" w:color="auto" w:fill="FFFFFF"/>
        <w:spacing w:line="592" w:lineRule="atLeast"/>
        <w:ind w:firstLineChars="200" w:firstLine="640"/>
        <w:jc w:val="left"/>
        <w:rPr>
          <w:rFonts w:ascii="仿宋_GB2312" w:eastAsia="仿宋_GB2312"/>
          <w:sz w:val="32"/>
          <w:szCs w:val="32"/>
        </w:rPr>
      </w:pPr>
      <w:r>
        <w:rPr>
          <w:rFonts w:ascii="仿宋_GB2312" w:eastAsia="仿宋_GB2312" w:hint="eastAsia"/>
          <w:sz w:val="32"/>
          <w:szCs w:val="32"/>
        </w:rPr>
        <w:t>（六）鼓励引导基金管理团队按不超过引导基金出资额3%的比例入股拟设立的参股基金。</w:t>
      </w:r>
    </w:p>
    <w:p w14:paraId="53F10467" w14:textId="77777777" w:rsidR="002A7129" w:rsidRDefault="002A7129" w:rsidP="002A7129">
      <w:pPr>
        <w:widowControl/>
        <w:shd w:val="clear" w:color="auto" w:fill="FFFFFF"/>
        <w:spacing w:line="592" w:lineRule="atLeast"/>
        <w:ind w:firstLineChars="200" w:firstLine="640"/>
        <w:jc w:val="left"/>
        <w:rPr>
          <w:rFonts w:ascii="仿宋_GB2312" w:eastAsia="仿宋_GB2312"/>
          <w:sz w:val="32"/>
          <w:szCs w:val="32"/>
        </w:rPr>
      </w:pPr>
      <w:r>
        <w:rPr>
          <w:rFonts w:ascii="黑体" w:eastAsia="黑体" w:hAnsi="黑体" w:cs="宋体" w:hint="eastAsia"/>
          <w:kern w:val="0"/>
          <w:sz w:val="32"/>
          <w:szCs w:val="32"/>
        </w:rPr>
        <w:t xml:space="preserve">第十二条 </w:t>
      </w:r>
      <w:r>
        <w:rPr>
          <w:rFonts w:ascii="仿宋_GB2312" w:eastAsia="仿宋_GB2312" w:hint="eastAsia"/>
          <w:sz w:val="32"/>
          <w:szCs w:val="32"/>
        </w:rPr>
        <w:t>跟进投资</w:t>
      </w:r>
    </w:p>
    <w:p w14:paraId="6042BEC1" w14:textId="77777777" w:rsidR="002A7129" w:rsidRPr="00164FE2" w:rsidRDefault="002A7129" w:rsidP="002A7129">
      <w:pPr>
        <w:widowControl/>
        <w:shd w:val="clear" w:color="auto" w:fill="FFFFFF"/>
        <w:spacing w:line="592" w:lineRule="atLeast"/>
        <w:jc w:val="left"/>
        <w:rPr>
          <w:rFonts w:ascii="仿宋_GB2312" w:eastAsia="仿宋_GB2312" w:hAnsi="仿宋" w:cs="仿宋"/>
          <w:kern w:val="0"/>
          <w:sz w:val="32"/>
          <w:szCs w:val="32"/>
        </w:rPr>
      </w:pPr>
      <w:r>
        <w:rPr>
          <w:rFonts w:ascii="仿宋" w:eastAsia="仿宋" w:hAnsi="仿宋" w:cs="仿宋" w:hint="eastAsia"/>
          <w:kern w:val="0"/>
          <w:sz w:val="32"/>
          <w:szCs w:val="32"/>
        </w:rPr>
        <w:lastRenderedPageBreak/>
        <w:t xml:space="preserve">    </w:t>
      </w:r>
      <w:r w:rsidRPr="00164FE2">
        <w:rPr>
          <w:rFonts w:ascii="仿宋_GB2312" w:eastAsia="仿宋_GB2312" w:hAnsi="仿宋" w:cs="仿宋" w:hint="eastAsia"/>
          <w:kern w:val="0"/>
          <w:sz w:val="32"/>
          <w:szCs w:val="32"/>
        </w:rPr>
        <w:t>跟进投资是指对参股基金选定投资的企业，引导基金与参股基金管理机构共同投资。</w:t>
      </w:r>
    </w:p>
    <w:p w14:paraId="7B9CDC0F" w14:textId="77777777" w:rsidR="002A7129" w:rsidRPr="00164FE2" w:rsidRDefault="002A7129" w:rsidP="002A7129">
      <w:pPr>
        <w:widowControl/>
        <w:shd w:val="clear" w:color="auto" w:fill="FFFFFF"/>
        <w:spacing w:line="592" w:lineRule="atLeast"/>
        <w:jc w:val="left"/>
        <w:rPr>
          <w:rFonts w:ascii="仿宋_GB2312" w:eastAsia="仿宋_GB2312" w:hAnsi="仿宋" w:cs="仿宋"/>
          <w:color w:val="000000"/>
          <w:kern w:val="0"/>
          <w:sz w:val="32"/>
          <w:szCs w:val="32"/>
        </w:rPr>
      </w:pPr>
      <w:r>
        <w:rPr>
          <w:rFonts w:ascii="仿宋" w:eastAsia="仿宋" w:hAnsi="仿宋" w:cs="仿宋" w:hint="eastAsia"/>
          <w:color w:val="000000"/>
          <w:kern w:val="0"/>
          <w:sz w:val="32"/>
          <w:szCs w:val="32"/>
        </w:rPr>
        <w:t xml:space="preserve">    </w:t>
      </w:r>
      <w:r w:rsidRPr="00164FE2">
        <w:rPr>
          <w:rFonts w:ascii="仿宋_GB2312" w:eastAsia="仿宋_GB2312" w:hAnsi="仿宋" w:cs="仿宋" w:hint="eastAsia"/>
          <w:color w:val="000000"/>
          <w:kern w:val="0"/>
          <w:sz w:val="32"/>
          <w:szCs w:val="32"/>
        </w:rPr>
        <w:t>（一）跟进投资企业须在我区办理工商登记和税务登记；</w:t>
      </w:r>
    </w:p>
    <w:p w14:paraId="4BB32582" w14:textId="77777777" w:rsidR="002A7129" w:rsidRPr="00164FE2" w:rsidRDefault="002A7129" w:rsidP="002A7129">
      <w:pPr>
        <w:ind w:firstLineChars="200" w:firstLine="640"/>
        <w:rPr>
          <w:rFonts w:ascii="仿宋_GB2312" w:eastAsia="仿宋_GB2312" w:hAnsi="仿宋" w:cs="仿宋"/>
          <w:kern w:val="0"/>
          <w:sz w:val="32"/>
          <w:szCs w:val="32"/>
        </w:rPr>
      </w:pPr>
      <w:r w:rsidRPr="00164FE2">
        <w:rPr>
          <w:rFonts w:ascii="仿宋_GB2312" w:eastAsia="仿宋_GB2312" w:hAnsi="仿宋" w:cs="仿宋" w:hint="eastAsia"/>
          <w:kern w:val="0"/>
          <w:sz w:val="32"/>
          <w:szCs w:val="32"/>
        </w:rPr>
        <w:t>（二）跟进投资企业应为我区重点发展的优势主导产业领域内的优秀产业企业；</w:t>
      </w:r>
    </w:p>
    <w:p w14:paraId="32B2C205" w14:textId="77777777" w:rsidR="002A7129" w:rsidRPr="00164FE2" w:rsidRDefault="002A7129" w:rsidP="002A7129">
      <w:pPr>
        <w:spacing w:line="592" w:lineRule="exact"/>
        <w:rPr>
          <w:rFonts w:ascii="仿宋_GB2312" w:eastAsia="仿宋_GB2312" w:hAnsi="仿宋" w:cs="仿宋"/>
          <w:color w:val="000000"/>
          <w:kern w:val="0"/>
          <w:sz w:val="32"/>
          <w:szCs w:val="32"/>
        </w:rPr>
      </w:pPr>
      <w:r w:rsidRPr="00164FE2">
        <w:rPr>
          <w:rFonts w:ascii="仿宋_GB2312" w:eastAsia="仿宋_GB2312" w:hAnsi="仿宋" w:cs="仿宋" w:hint="eastAsia"/>
          <w:kern w:val="0"/>
          <w:sz w:val="32"/>
          <w:szCs w:val="32"/>
        </w:rPr>
        <w:t xml:space="preserve">    （三）</w:t>
      </w:r>
      <w:r w:rsidRPr="00164FE2">
        <w:rPr>
          <w:rFonts w:ascii="仿宋_GB2312" w:eastAsia="仿宋_GB2312" w:hAnsi="仿宋" w:cs="仿宋" w:hint="eastAsia"/>
          <w:color w:val="000000"/>
          <w:kern w:val="0"/>
          <w:sz w:val="32"/>
          <w:szCs w:val="32"/>
        </w:rPr>
        <w:t>引导基金跟进投资的投资价格与参股基金管理机构的跟进投资价格相同，投资规模不超过参股基金投资规模的30%；</w:t>
      </w:r>
    </w:p>
    <w:p w14:paraId="0ECA12D6" w14:textId="707F3DA0" w:rsidR="002A7129" w:rsidRPr="00164FE2" w:rsidRDefault="002A7129" w:rsidP="002A7129">
      <w:pPr>
        <w:spacing w:line="592" w:lineRule="exact"/>
        <w:rPr>
          <w:rFonts w:ascii="仿宋_GB2312" w:eastAsia="仿宋_GB2312" w:hAnsi="仿宋" w:cs="仿宋"/>
          <w:b/>
          <w:bCs/>
          <w:kern w:val="0"/>
          <w:sz w:val="32"/>
          <w:szCs w:val="32"/>
        </w:rPr>
      </w:pPr>
      <w:r w:rsidRPr="00164FE2">
        <w:rPr>
          <w:rFonts w:ascii="仿宋_GB2312" w:eastAsia="仿宋_GB2312" w:hAnsi="仿宋" w:cs="仿宋" w:hint="eastAsia"/>
          <w:color w:val="000000"/>
          <w:kern w:val="0"/>
          <w:sz w:val="32"/>
          <w:szCs w:val="32"/>
        </w:rPr>
        <w:t xml:space="preserve">    （四）引导基金对单个企业原则上只进行一次跟进投资</w:t>
      </w:r>
      <w:r w:rsidRPr="00164FE2">
        <w:rPr>
          <w:rFonts w:ascii="仿宋_GB2312" w:eastAsia="仿宋_GB2312" w:hAnsi="仿宋" w:cs="仿宋" w:hint="eastAsia"/>
          <w:kern w:val="0"/>
          <w:sz w:val="32"/>
          <w:szCs w:val="32"/>
        </w:rPr>
        <w:t>；</w:t>
      </w:r>
      <w:r w:rsidR="00287493" w:rsidRPr="00164FE2">
        <w:rPr>
          <w:rFonts w:ascii="仿宋_GB2312" w:eastAsia="仿宋_GB2312" w:hAnsi="仿宋" w:cs="仿宋"/>
          <w:b/>
          <w:bCs/>
          <w:kern w:val="0"/>
          <w:sz w:val="32"/>
          <w:szCs w:val="32"/>
        </w:rPr>
        <w:t xml:space="preserve"> </w:t>
      </w:r>
    </w:p>
    <w:p w14:paraId="7941471F" w14:textId="77777777" w:rsidR="002A7129" w:rsidRPr="00164FE2" w:rsidRDefault="002A7129" w:rsidP="002A7129">
      <w:pPr>
        <w:ind w:firstLineChars="200" w:firstLine="640"/>
        <w:rPr>
          <w:rFonts w:ascii="仿宋_GB2312" w:eastAsia="仿宋_GB2312" w:hAnsi="仿宋" w:cs="仿宋"/>
          <w:sz w:val="32"/>
          <w:szCs w:val="32"/>
          <w:u w:val="single"/>
        </w:rPr>
      </w:pPr>
      <w:r w:rsidRPr="00164FE2">
        <w:rPr>
          <w:rFonts w:ascii="仿宋_GB2312" w:eastAsia="仿宋_GB2312" w:hAnsi="仿宋" w:cs="仿宋" w:hint="eastAsia"/>
          <w:kern w:val="0"/>
          <w:sz w:val="32"/>
          <w:szCs w:val="32"/>
        </w:rPr>
        <w:t>（五）鼓励引导基金管理团队（项目团队）以自有资金按引导基金出资额1%-10%的比例跟进投资；</w:t>
      </w:r>
    </w:p>
    <w:p w14:paraId="585276FB" w14:textId="0BF813F9" w:rsidR="002A7129" w:rsidRDefault="002A7129" w:rsidP="005E35D2">
      <w:pPr>
        <w:widowControl/>
        <w:shd w:val="clear" w:color="auto" w:fill="FFFFFF"/>
        <w:spacing w:line="592" w:lineRule="atLeast"/>
        <w:ind w:firstLine="660"/>
        <w:jc w:val="left"/>
        <w:rPr>
          <w:rFonts w:ascii="仿宋_GB2312" w:eastAsia="仿宋_GB2312" w:hAnsi="仿宋" w:cs="仿宋"/>
          <w:kern w:val="0"/>
          <w:sz w:val="32"/>
          <w:szCs w:val="32"/>
        </w:rPr>
      </w:pPr>
      <w:r w:rsidRPr="00164FE2">
        <w:rPr>
          <w:rFonts w:ascii="仿宋_GB2312" w:eastAsia="仿宋_GB2312" w:hAnsi="仿宋" w:cs="仿宋" w:hint="eastAsia"/>
          <w:kern w:val="0"/>
          <w:sz w:val="32"/>
          <w:szCs w:val="32"/>
        </w:rPr>
        <w:t>（六）引导基金跟进投资形成的股权委托参股基金管理机构管理。引导基金管理机构应当与参股基金管理机构签订《股权托管协议》，明确双方的权利、义务、股权退出的条件等；</w:t>
      </w:r>
    </w:p>
    <w:p w14:paraId="39377B7F" w14:textId="5C6C0581" w:rsidR="002A7129" w:rsidRDefault="002A7129" w:rsidP="005E35D2">
      <w:pPr>
        <w:widowControl/>
        <w:shd w:val="clear" w:color="auto" w:fill="FFFFFF"/>
        <w:spacing w:line="592" w:lineRule="atLeast"/>
        <w:ind w:firstLineChars="200" w:firstLine="640"/>
        <w:jc w:val="left"/>
        <w:rPr>
          <w:rFonts w:ascii="仿宋_GB2312" w:eastAsia="仿宋_GB2312" w:hAnsi="仿宋" w:cs="仿宋"/>
          <w:kern w:val="0"/>
          <w:sz w:val="32"/>
          <w:szCs w:val="32"/>
        </w:rPr>
      </w:pPr>
      <w:r w:rsidRPr="00164FE2">
        <w:rPr>
          <w:rFonts w:ascii="仿宋_GB2312" w:eastAsia="仿宋_GB2312" w:hAnsi="仿宋" w:cs="仿宋" w:hint="eastAsia"/>
          <w:kern w:val="0"/>
          <w:sz w:val="32"/>
          <w:szCs w:val="32"/>
        </w:rPr>
        <w:t>（</w:t>
      </w:r>
      <w:r w:rsidR="005E35D2">
        <w:rPr>
          <w:rFonts w:ascii="仿宋_GB2312" w:eastAsia="仿宋_GB2312" w:hAnsi="仿宋" w:cs="仿宋" w:hint="eastAsia"/>
          <w:kern w:val="0"/>
          <w:sz w:val="32"/>
          <w:szCs w:val="32"/>
        </w:rPr>
        <w:t>七</w:t>
      </w:r>
      <w:r w:rsidRPr="00164FE2">
        <w:rPr>
          <w:rFonts w:ascii="仿宋_GB2312" w:eastAsia="仿宋_GB2312" w:hAnsi="仿宋" w:cs="仿宋" w:hint="eastAsia"/>
          <w:kern w:val="0"/>
          <w:sz w:val="32"/>
          <w:szCs w:val="32"/>
        </w:rPr>
        <w:t>）企业发生清算时，按照法律程序清偿债权人的债权后，</w:t>
      </w:r>
      <w:r w:rsidR="00D87083" w:rsidRPr="00164FE2">
        <w:rPr>
          <w:rFonts w:ascii="仿宋_GB2312" w:eastAsia="仿宋_GB2312" w:hAnsi="仿宋" w:cs="仿宋" w:hint="eastAsia"/>
          <w:kern w:val="0"/>
          <w:sz w:val="32"/>
          <w:szCs w:val="32"/>
        </w:rPr>
        <w:t>按合同约定剩余财产</w:t>
      </w:r>
      <w:r w:rsidR="00D87083">
        <w:rPr>
          <w:rFonts w:ascii="仿宋_GB2312" w:eastAsia="仿宋_GB2312" w:hAnsi="仿宋" w:cs="仿宋" w:hint="eastAsia"/>
          <w:kern w:val="0"/>
          <w:sz w:val="32"/>
          <w:szCs w:val="32"/>
        </w:rPr>
        <w:t>优</w:t>
      </w:r>
      <w:r w:rsidR="00D87083" w:rsidRPr="00164FE2">
        <w:rPr>
          <w:rFonts w:ascii="仿宋_GB2312" w:eastAsia="仿宋_GB2312" w:hAnsi="仿宋" w:cs="仿宋" w:hint="eastAsia"/>
          <w:kern w:val="0"/>
          <w:sz w:val="32"/>
          <w:szCs w:val="32"/>
        </w:rPr>
        <w:t>先清偿引导基金</w:t>
      </w:r>
      <w:r w:rsidRPr="00164FE2">
        <w:rPr>
          <w:rFonts w:ascii="仿宋_GB2312" w:eastAsia="仿宋_GB2312" w:hAnsi="仿宋" w:cs="仿宋" w:hint="eastAsia"/>
          <w:kern w:val="0"/>
          <w:sz w:val="32"/>
          <w:szCs w:val="32"/>
        </w:rPr>
        <w:t>。</w:t>
      </w:r>
    </w:p>
    <w:p w14:paraId="2089921A"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第十三条</w:t>
      </w:r>
      <w:r>
        <w:rPr>
          <w:rFonts w:ascii="仿宋_GB2312" w:eastAsia="仿宋_GB2312" w:hint="eastAsia"/>
          <w:b/>
          <w:sz w:val="32"/>
          <w:szCs w:val="32"/>
        </w:rPr>
        <w:t xml:space="preserve"> </w:t>
      </w:r>
      <w:r>
        <w:rPr>
          <w:rFonts w:ascii="仿宋_GB2312" w:eastAsia="仿宋_GB2312" w:hint="eastAsia"/>
          <w:sz w:val="32"/>
          <w:szCs w:val="32"/>
        </w:rPr>
        <w:t>直接投资</w:t>
      </w:r>
    </w:p>
    <w:p w14:paraId="58B6B68D" w14:textId="77080BF8"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直接投资是指引导基金对符合我区产业政策的重大项目企业，可以对项目企业以股权、优先股等方式进行直接投资。</w:t>
      </w:r>
    </w:p>
    <w:p w14:paraId="74862785"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（一）所投资的企业须在我区办理工商登记和税务登记。</w:t>
      </w:r>
    </w:p>
    <w:p w14:paraId="79A4DF68" w14:textId="721DD746" w:rsidR="002A7129" w:rsidRDefault="002A7129" w:rsidP="006D7D2F">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lastRenderedPageBreak/>
        <w:t>（二）符合我区产业导向或者是我区招商引资政策导则中所规定的</w:t>
      </w:r>
      <w:r w:rsidR="00F25752">
        <w:rPr>
          <w:rFonts w:ascii="仿宋_GB2312" w:eastAsia="仿宋_GB2312" w:hint="eastAsia"/>
          <w:sz w:val="32"/>
          <w:szCs w:val="32"/>
        </w:rPr>
        <w:t>新引进外来投资工业</w:t>
      </w:r>
      <w:r>
        <w:rPr>
          <w:rFonts w:ascii="仿宋_GB2312" w:eastAsia="仿宋_GB2312" w:hint="eastAsia"/>
          <w:sz w:val="32"/>
          <w:szCs w:val="32"/>
        </w:rPr>
        <w:t>、现代服务业和现代农业等产业领域内的能够带动产业提升或突破的重大产业项目。</w:t>
      </w:r>
    </w:p>
    <w:p w14:paraId="451B8FEB" w14:textId="520F98B4"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w:t>
      </w:r>
      <w:r w:rsidR="006D7D2F">
        <w:rPr>
          <w:rFonts w:ascii="仿宋_GB2312" w:eastAsia="仿宋_GB2312" w:hint="eastAsia"/>
          <w:sz w:val="32"/>
          <w:szCs w:val="32"/>
        </w:rPr>
        <w:t>三</w:t>
      </w:r>
      <w:r>
        <w:rPr>
          <w:rFonts w:ascii="仿宋_GB2312" w:eastAsia="仿宋_GB2312" w:hint="eastAsia"/>
          <w:sz w:val="32"/>
          <w:szCs w:val="32"/>
        </w:rPr>
        <w:t>）直接投资企业必须按照国家企业财务、会计制度规定，有健全的内部财务管理制度和会计核算办法。</w:t>
      </w:r>
    </w:p>
    <w:p w14:paraId="4D6CFD04"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第十四条</w:t>
      </w:r>
      <w:r>
        <w:rPr>
          <w:rFonts w:ascii="仿宋_GB2312" w:eastAsia="仿宋_GB2312"/>
          <w:color w:val="FF0000"/>
          <w:sz w:val="32"/>
          <w:szCs w:val="32"/>
        </w:rPr>
        <w:t xml:space="preserve"> </w:t>
      </w:r>
      <w:r>
        <w:rPr>
          <w:rFonts w:ascii="仿宋_GB2312" w:eastAsia="仿宋_GB2312" w:hint="eastAsia"/>
          <w:sz w:val="32"/>
          <w:szCs w:val="32"/>
        </w:rPr>
        <w:t>增信类产品</w:t>
      </w:r>
    </w:p>
    <w:p w14:paraId="693369B4" w14:textId="02291C1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增信类产品是指引导基金利用增信、再担保、风险补偿等金融杠杆，以降低中小微企业融资门槛和成本为目的而设立的金融产品。可采取增信放大、再担保、风险补偿等多种方式运作。</w:t>
      </w:r>
    </w:p>
    <w:p w14:paraId="746B03C4"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（一）由管理机构提出增信类产品方案报区国资办初审后，经区国资委批准后实施。</w:t>
      </w:r>
    </w:p>
    <w:p w14:paraId="487C6D30"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（二）所扶持的中小微企业须在我区办理工商登记和税务登记。</w:t>
      </w:r>
    </w:p>
    <w:p w14:paraId="6875B55C"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（三）所扶持的企业标准按照工业和信息化部《关于印发中小企业划型标准规定的通知》（工信部联企业〔2011〕300号）标准确定。</w:t>
      </w:r>
    </w:p>
    <w:p w14:paraId="06BB6BFB"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第十五条</w:t>
      </w:r>
      <w:r>
        <w:rPr>
          <w:rFonts w:ascii="仿宋_GB2312" w:eastAsia="仿宋_GB2312"/>
          <w:sz w:val="32"/>
          <w:szCs w:val="32"/>
        </w:rPr>
        <w:t xml:space="preserve"> </w:t>
      </w:r>
      <w:r>
        <w:rPr>
          <w:rFonts w:ascii="仿宋_GB2312" w:eastAsia="仿宋_GB2312" w:hint="eastAsia"/>
          <w:sz w:val="32"/>
          <w:szCs w:val="32"/>
        </w:rPr>
        <w:t>其他投资方式</w:t>
      </w:r>
    </w:p>
    <w:p w14:paraId="5F2A42B1"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int="eastAsia"/>
          <w:sz w:val="32"/>
          <w:szCs w:val="32"/>
        </w:rPr>
        <w:t>引导基金采取其他模式进行投资的，由基金管理机构制定方案，按照“一事一议”的原则，报区国资委批准后实施。</w:t>
      </w:r>
    </w:p>
    <w:p w14:paraId="1825143C" w14:textId="77777777" w:rsidR="00157300" w:rsidRDefault="00157300" w:rsidP="002A7129">
      <w:pPr>
        <w:widowControl/>
        <w:shd w:val="clear" w:color="auto" w:fill="FFFFFF"/>
        <w:spacing w:line="592" w:lineRule="atLeast"/>
        <w:ind w:firstLine="640"/>
        <w:jc w:val="left"/>
        <w:rPr>
          <w:rFonts w:ascii="仿宋_GB2312" w:eastAsia="仿宋_GB2312"/>
          <w:sz w:val="32"/>
          <w:szCs w:val="32"/>
        </w:rPr>
      </w:pPr>
    </w:p>
    <w:p w14:paraId="14267547" w14:textId="77777777" w:rsidR="00287493" w:rsidRDefault="00287493" w:rsidP="002A7129">
      <w:pPr>
        <w:widowControl/>
        <w:shd w:val="clear" w:color="auto" w:fill="FFFFFF"/>
        <w:spacing w:line="592" w:lineRule="atLeast"/>
        <w:ind w:firstLine="640"/>
        <w:jc w:val="left"/>
        <w:rPr>
          <w:rFonts w:ascii="仿宋_GB2312" w:eastAsia="仿宋_GB2312"/>
          <w:sz w:val="32"/>
          <w:szCs w:val="32"/>
        </w:rPr>
      </w:pPr>
    </w:p>
    <w:p w14:paraId="7917CDCA" w14:textId="2AB245A4" w:rsidR="002A7129" w:rsidRPr="00287493" w:rsidRDefault="002A7129" w:rsidP="002A7129">
      <w:pPr>
        <w:widowControl/>
        <w:numPr>
          <w:ilvl w:val="255"/>
          <w:numId w:val="0"/>
        </w:numPr>
        <w:shd w:val="clear" w:color="auto" w:fill="FFFFFF"/>
        <w:spacing w:line="592" w:lineRule="atLeast"/>
        <w:jc w:val="center"/>
        <w:rPr>
          <w:rFonts w:ascii="仿宋_GB2312" w:eastAsia="仿宋_GB2312"/>
          <w:sz w:val="32"/>
          <w:szCs w:val="32"/>
        </w:rPr>
      </w:pPr>
      <w:r w:rsidRPr="00287493">
        <w:rPr>
          <w:rFonts w:ascii="黑体" w:eastAsia="黑体" w:hAnsi="黑体" w:cs="黑体" w:hint="eastAsia"/>
          <w:sz w:val="32"/>
          <w:szCs w:val="32"/>
        </w:rPr>
        <w:lastRenderedPageBreak/>
        <w:t>引导基金的退出和终止</w:t>
      </w:r>
    </w:p>
    <w:p w14:paraId="213EC57B" w14:textId="77777777" w:rsidR="002A7129" w:rsidRDefault="002A7129" w:rsidP="002A7129">
      <w:pPr>
        <w:widowControl/>
        <w:numPr>
          <w:ilvl w:val="255"/>
          <w:numId w:val="0"/>
        </w:numPr>
        <w:shd w:val="clear" w:color="auto" w:fill="FFFFFF"/>
        <w:spacing w:line="592" w:lineRule="atLeast"/>
        <w:ind w:firstLine="640"/>
        <w:rPr>
          <w:rFonts w:ascii="仿宋_GB2312" w:eastAsia="仿宋_GB2312"/>
          <w:sz w:val="32"/>
          <w:szCs w:val="32"/>
        </w:rPr>
      </w:pPr>
      <w:r w:rsidRPr="00775CB0">
        <w:rPr>
          <w:rFonts w:ascii="黑体" w:eastAsia="黑体" w:hAnsi="黑体" w:cs="黑体" w:hint="eastAsia"/>
          <w:sz w:val="32"/>
          <w:szCs w:val="32"/>
        </w:rPr>
        <w:t>第十六条</w:t>
      </w:r>
      <w:r>
        <w:rPr>
          <w:rFonts w:ascii="仿宋_GB2312" w:eastAsia="仿宋_GB2312" w:hint="eastAsia"/>
          <w:sz w:val="32"/>
          <w:szCs w:val="32"/>
        </w:rPr>
        <w:t xml:space="preserve"> 引导基金可以通过上市、股权转让、回购及清算等方式退出。在有受让方的情况下，引导基金可以随时退出。</w:t>
      </w:r>
    </w:p>
    <w:p w14:paraId="002AC658" w14:textId="77777777" w:rsidR="002A7129" w:rsidRDefault="002A7129" w:rsidP="002A7129">
      <w:pPr>
        <w:widowControl/>
        <w:numPr>
          <w:ilvl w:val="255"/>
          <w:numId w:val="0"/>
        </w:numPr>
        <w:shd w:val="clear" w:color="auto" w:fill="FFFFFF"/>
        <w:spacing w:line="592" w:lineRule="atLeast"/>
        <w:ind w:firstLine="640"/>
        <w:rPr>
          <w:rFonts w:ascii="仿宋_GB2312" w:eastAsia="仿宋_GB2312"/>
          <w:sz w:val="32"/>
          <w:szCs w:val="32"/>
        </w:rPr>
      </w:pPr>
      <w:r w:rsidRPr="00775CB0">
        <w:rPr>
          <w:rFonts w:ascii="黑体" w:eastAsia="黑体" w:hAnsi="黑体" w:cs="黑体" w:hint="eastAsia"/>
          <w:sz w:val="32"/>
          <w:szCs w:val="32"/>
        </w:rPr>
        <w:t>第十七条</w:t>
      </w:r>
      <w:r>
        <w:rPr>
          <w:rFonts w:ascii="仿宋_GB2312" w:eastAsia="仿宋_GB2312" w:hint="eastAsia"/>
          <w:sz w:val="32"/>
          <w:szCs w:val="32"/>
        </w:rPr>
        <w:t xml:space="preserve"> 符合股权转让（含回购，下同）条件的引导基金，可在投资协议中对转让方式、转让条件、转让价格、转让对象等事项进行约定，并报区国资办备案。</w:t>
      </w:r>
    </w:p>
    <w:p w14:paraId="0407DC77" w14:textId="0E463A48" w:rsidR="002A7129" w:rsidRDefault="002A7129" w:rsidP="002A7129">
      <w:pPr>
        <w:widowControl/>
        <w:numPr>
          <w:ilvl w:val="255"/>
          <w:numId w:val="0"/>
        </w:numPr>
        <w:shd w:val="clear" w:color="auto" w:fill="FFFFFF"/>
        <w:spacing w:line="592" w:lineRule="atLeast"/>
        <w:ind w:firstLine="640"/>
        <w:rPr>
          <w:rFonts w:ascii="仿宋_GB2312" w:eastAsia="仿宋_GB2312"/>
          <w:sz w:val="32"/>
          <w:szCs w:val="32"/>
        </w:rPr>
      </w:pPr>
      <w:r w:rsidRPr="00775CB0">
        <w:rPr>
          <w:rFonts w:ascii="黑体" w:eastAsia="黑体" w:hAnsi="黑体" w:cs="黑体" w:hint="eastAsia"/>
          <w:sz w:val="32"/>
          <w:szCs w:val="32"/>
        </w:rPr>
        <w:t>第十八条</w:t>
      </w:r>
      <w:r>
        <w:rPr>
          <w:rFonts w:ascii="仿宋_GB2312" w:eastAsia="仿宋_GB2312" w:hint="eastAsia"/>
          <w:sz w:val="32"/>
          <w:szCs w:val="32"/>
        </w:rPr>
        <w:t xml:space="preserve"> 引导基金向在投资协议中约定并报区国资办备案的受让方转让所持基金股权，按照约定事项内容，在依法设立的产权交易机构按程序进行，需办理批准手续的按规定程序办理。产权交易机构按照产权交易管理有关规定，对约定事项进行前置性复核。</w:t>
      </w:r>
    </w:p>
    <w:p w14:paraId="3CA16114" w14:textId="77777777" w:rsidR="002A7129" w:rsidRDefault="002A7129" w:rsidP="002A7129">
      <w:pPr>
        <w:widowControl/>
        <w:numPr>
          <w:ilvl w:val="255"/>
          <w:numId w:val="0"/>
        </w:numPr>
        <w:shd w:val="clear" w:color="auto" w:fill="FFFFFF"/>
        <w:spacing w:line="592" w:lineRule="atLeast"/>
        <w:ind w:firstLine="640"/>
        <w:rPr>
          <w:rFonts w:ascii="仿宋_GB2312" w:eastAsia="仿宋_GB2312"/>
          <w:sz w:val="32"/>
          <w:szCs w:val="32"/>
        </w:rPr>
      </w:pPr>
      <w:r w:rsidRPr="00775CB0">
        <w:rPr>
          <w:rFonts w:ascii="黑体" w:eastAsia="黑体" w:hAnsi="黑体" w:cs="黑体" w:hint="eastAsia"/>
          <w:sz w:val="32"/>
          <w:szCs w:val="32"/>
        </w:rPr>
        <w:t>第十九条</w:t>
      </w:r>
      <w:r>
        <w:rPr>
          <w:rFonts w:ascii="仿宋_GB2312" w:eastAsia="仿宋_GB2312" w:hint="eastAsia"/>
          <w:sz w:val="32"/>
          <w:szCs w:val="32"/>
        </w:rPr>
        <w:t xml:space="preserve"> 引导基金采取转让方式退出，如转让双方为区属国有全资公司或国有独资企业，经双方股东一致同意，并报区国资委批准，引导基金所持股权可以协议转让或无偿划转。</w:t>
      </w:r>
    </w:p>
    <w:p w14:paraId="161605AF" w14:textId="77777777" w:rsidR="002A7129" w:rsidRPr="00CE6319" w:rsidRDefault="002A7129" w:rsidP="002A7129">
      <w:pPr>
        <w:widowControl/>
        <w:numPr>
          <w:ilvl w:val="255"/>
          <w:numId w:val="0"/>
        </w:numPr>
        <w:shd w:val="clear" w:color="auto" w:fill="FFFFFF"/>
        <w:spacing w:line="592" w:lineRule="atLeast"/>
        <w:ind w:firstLine="640"/>
        <w:rPr>
          <w:rFonts w:ascii="仿宋_GB2312" w:eastAsia="仿宋_GB2312"/>
          <w:sz w:val="32"/>
          <w:szCs w:val="32"/>
        </w:rPr>
      </w:pPr>
      <w:r w:rsidRPr="00775CB0">
        <w:rPr>
          <w:rFonts w:ascii="黑体" w:eastAsia="黑体" w:hAnsi="黑体" w:cs="黑体" w:hint="eastAsia"/>
          <w:sz w:val="32"/>
          <w:szCs w:val="32"/>
        </w:rPr>
        <w:t>第二十条</w:t>
      </w:r>
      <w:r>
        <w:rPr>
          <w:rFonts w:ascii="仿宋_GB2312" w:eastAsia="仿宋_GB2312" w:hint="eastAsia"/>
          <w:sz w:val="32"/>
          <w:szCs w:val="32"/>
        </w:rPr>
        <w:t xml:space="preserve"> </w:t>
      </w:r>
      <w:r w:rsidRPr="00CE6319">
        <w:rPr>
          <w:rFonts w:ascii="仿宋_GB2312" w:eastAsia="仿宋_GB2312" w:hint="eastAsia"/>
          <w:sz w:val="32"/>
          <w:szCs w:val="32"/>
        </w:rPr>
        <w:t>引导基金与其他投资人在章程中约定，有下述情况之一的，引导基金无需其他出资人同意，可选择提前退出：</w:t>
      </w:r>
    </w:p>
    <w:p w14:paraId="65E4CDDC" w14:textId="77777777" w:rsidR="002A7129" w:rsidRPr="00CE6319" w:rsidRDefault="002A7129" w:rsidP="002A7129">
      <w:pPr>
        <w:rPr>
          <w:rFonts w:ascii="仿宋_GB2312" w:eastAsia="仿宋_GB2312" w:hAnsi="仿宋" w:cs="仿宋"/>
          <w:sz w:val="32"/>
          <w:szCs w:val="32"/>
        </w:rPr>
      </w:pPr>
      <w:r w:rsidRPr="00CE6319">
        <w:rPr>
          <w:rFonts w:ascii="仿宋_GB2312" w:eastAsia="仿宋_GB2312" w:hAnsi="仿宋" w:cs="仿宋" w:hint="eastAsia"/>
          <w:sz w:val="32"/>
          <w:szCs w:val="32"/>
        </w:rPr>
        <w:t xml:space="preserve">  （一）基金投资方案确认后超过一年，未按规定程序和时间要求完成设立手续的；</w:t>
      </w:r>
    </w:p>
    <w:p w14:paraId="15BA4F1C" w14:textId="77777777" w:rsidR="002A7129" w:rsidRPr="00CE6319" w:rsidRDefault="002A7129" w:rsidP="002A7129">
      <w:pPr>
        <w:rPr>
          <w:rFonts w:ascii="仿宋_GB2312" w:eastAsia="仿宋_GB2312" w:hAnsi="仿宋" w:cs="仿宋"/>
          <w:sz w:val="32"/>
          <w:szCs w:val="32"/>
        </w:rPr>
      </w:pPr>
      <w:r w:rsidRPr="00CE6319">
        <w:rPr>
          <w:rFonts w:ascii="仿宋_GB2312" w:eastAsia="仿宋_GB2312" w:hAnsi="仿宋" w:cs="仿宋" w:hint="eastAsia"/>
          <w:sz w:val="32"/>
          <w:szCs w:val="32"/>
        </w:rPr>
        <w:t xml:space="preserve">  （二）引导基金出资拨付托管基金账户一年以上，基金未</w:t>
      </w:r>
      <w:r w:rsidRPr="00CE6319">
        <w:rPr>
          <w:rFonts w:ascii="仿宋_GB2312" w:eastAsia="仿宋_GB2312" w:hAnsi="仿宋" w:cs="仿宋" w:hint="eastAsia"/>
          <w:sz w:val="32"/>
          <w:szCs w:val="32"/>
        </w:rPr>
        <w:lastRenderedPageBreak/>
        <w:t>开展投资业务的；</w:t>
      </w:r>
    </w:p>
    <w:p w14:paraId="2779A503" w14:textId="77777777" w:rsidR="002A7129" w:rsidRPr="00CE6319" w:rsidRDefault="002A7129" w:rsidP="002A7129">
      <w:pPr>
        <w:rPr>
          <w:rFonts w:ascii="仿宋_GB2312" w:eastAsia="仿宋_GB2312" w:hAnsi="仿宋" w:cs="仿宋"/>
          <w:sz w:val="32"/>
          <w:szCs w:val="32"/>
        </w:rPr>
      </w:pPr>
      <w:r w:rsidRPr="00CE6319">
        <w:rPr>
          <w:rFonts w:ascii="仿宋_GB2312" w:eastAsia="仿宋_GB2312" w:hAnsi="仿宋" w:cs="仿宋" w:hint="eastAsia"/>
          <w:sz w:val="32"/>
          <w:szCs w:val="32"/>
        </w:rPr>
        <w:t xml:space="preserve">  （三）基金未按章程约定投资的；</w:t>
      </w:r>
    </w:p>
    <w:p w14:paraId="00BC34A4" w14:textId="77777777" w:rsidR="002A7129" w:rsidRPr="00CE6319" w:rsidRDefault="002A7129" w:rsidP="002A7129">
      <w:pPr>
        <w:rPr>
          <w:rFonts w:ascii="仿宋_GB2312" w:eastAsia="仿宋_GB2312" w:hAnsi="仿宋" w:cs="仿宋"/>
          <w:sz w:val="32"/>
          <w:szCs w:val="32"/>
        </w:rPr>
      </w:pPr>
      <w:r w:rsidRPr="00CE6319">
        <w:rPr>
          <w:rFonts w:ascii="仿宋_GB2312" w:eastAsia="仿宋_GB2312" w:hAnsi="仿宋" w:cs="仿宋" w:hint="eastAsia"/>
          <w:sz w:val="32"/>
          <w:szCs w:val="32"/>
        </w:rPr>
        <w:t xml:space="preserve">  （四）其他不符合章程约定情形的。</w:t>
      </w:r>
    </w:p>
    <w:p w14:paraId="4F3C352B" w14:textId="77777777" w:rsidR="002A7129" w:rsidRDefault="002A7129" w:rsidP="002A7129">
      <w:pPr>
        <w:rPr>
          <w:rFonts w:ascii="仿宋" w:eastAsia="仿宋" w:hAnsi="仿宋" w:cs="仿宋"/>
          <w:sz w:val="32"/>
          <w:szCs w:val="32"/>
        </w:rPr>
      </w:pPr>
      <w:r>
        <w:rPr>
          <w:rFonts w:ascii="仿宋" w:eastAsia="仿宋" w:hAnsi="仿宋" w:cs="仿宋" w:hint="eastAsia"/>
          <w:sz w:val="32"/>
          <w:szCs w:val="32"/>
        </w:rPr>
        <w:t xml:space="preserve">   </w:t>
      </w:r>
      <w:r w:rsidRPr="00775CB0">
        <w:rPr>
          <w:rFonts w:ascii="黑体" w:eastAsia="黑体" w:hAnsi="黑体" w:cs="黑体" w:hint="eastAsia"/>
          <w:sz w:val="32"/>
          <w:szCs w:val="32"/>
        </w:rPr>
        <w:t>第二十一条</w:t>
      </w:r>
      <w:r>
        <w:rPr>
          <w:rFonts w:ascii="仿宋" w:eastAsia="仿宋" w:hAnsi="仿宋" w:cs="仿宋" w:hint="eastAsia"/>
          <w:sz w:val="32"/>
          <w:szCs w:val="32"/>
        </w:rPr>
        <w:t xml:space="preserve"> </w:t>
      </w:r>
      <w:r w:rsidRPr="00CE6319">
        <w:rPr>
          <w:rFonts w:ascii="仿宋_GB2312" w:eastAsia="仿宋_GB2312" w:hAnsi="仿宋" w:cs="仿宋" w:hint="eastAsia"/>
          <w:sz w:val="32"/>
          <w:szCs w:val="32"/>
        </w:rPr>
        <w:t>引导基金终止后，应当在出资人监督下组织清算，清算收益由出资人收回。</w:t>
      </w:r>
    </w:p>
    <w:p w14:paraId="53D0984D" w14:textId="77777777" w:rsidR="002A7129" w:rsidRDefault="002A7129" w:rsidP="002A7129">
      <w:pPr>
        <w:widowControl/>
        <w:shd w:val="clear" w:color="auto" w:fill="FFFFFF"/>
        <w:spacing w:line="592" w:lineRule="atLeast"/>
        <w:ind w:firstLine="640"/>
        <w:jc w:val="left"/>
        <w:rPr>
          <w:rFonts w:ascii="仿宋_GB2312" w:eastAsia="仿宋_GB2312"/>
          <w:sz w:val="18"/>
          <w:szCs w:val="18"/>
        </w:rPr>
      </w:pPr>
    </w:p>
    <w:p w14:paraId="046F9393" w14:textId="77777777" w:rsidR="002A7129" w:rsidRDefault="002A7129" w:rsidP="002A7129">
      <w:pPr>
        <w:widowControl/>
        <w:shd w:val="clear" w:color="auto" w:fill="FFFFFF"/>
        <w:spacing w:line="592" w:lineRule="atLeast"/>
        <w:jc w:val="center"/>
        <w:rPr>
          <w:rFonts w:ascii="黑体" w:eastAsia="黑体"/>
          <w:sz w:val="32"/>
          <w:szCs w:val="32"/>
        </w:rPr>
      </w:pPr>
      <w:r>
        <w:rPr>
          <w:rFonts w:ascii="黑体" w:eastAsia="黑体" w:hint="eastAsia"/>
          <w:sz w:val="32"/>
          <w:szCs w:val="32"/>
        </w:rPr>
        <w:t>第五章</w:t>
      </w:r>
      <w:r>
        <w:rPr>
          <w:rFonts w:ascii="黑体" w:eastAsia="黑体"/>
          <w:sz w:val="32"/>
          <w:szCs w:val="32"/>
        </w:rPr>
        <w:t> </w:t>
      </w:r>
      <w:r>
        <w:rPr>
          <w:rFonts w:ascii="黑体" w:eastAsia="黑体" w:hint="eastAsia"/>
          <w:sz w:val="32"/>
          <w:szCs w:val="32"/>
        </w:rPr>
        <w:t>风险控制和监督</w:t>
      </w:r>
    </w:p>
    <w:p w14:paraId="477D1A76" w14:textId="77777777" w:rsidR="002A7129" w:rsidRDefault="002A7129" w:rsidP="002A7129">
      <w:pPr>
        <w:widowControl/>
        <w:shd w:val="clear" w:color="auto" w:fill="FFFFFF"/>
        <w:spacing w:line="592" w:lineRule="atLeast"/>
        <w:jc w:val="center"/>
        <w:rPr>
          <w:rFonts w:ascii="黑体" w:eastAsia="黑体"/>
          <w:sz w:val="32"/>
          <w:szCs w:val="32"/>
        </w:rPr>
      </w:pPr>
    </w:p>
    <w:p w14:paraId="256CF337" w14:textId="77777777" w:rsidR="002A7129" w:rsidRPr="00207937"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第二十二条</w:t>
      </w:r>
      <w:r>
        <w:rPr>
          <w:rFonts w:ascii="仿宋_GB2312" w:eastAsia="仿宋_GB2312"/>
          <w:sz w:val="32"/>
          <w:szCs w:val="32"/>
        </w:rPr>
        <w:t xml:space="preserve"> </w:t>
      </w:r>
      <w:r w:rsidRPr="00207937">
        <w:rPr>
          <w:rFonts w:ascii="仿宋_GB2312" w:eastAsia="仿宋_GB2312" w:hint="eastAsia"/>
          <w:sz w:val="32"/>
          <w:szCs w:val="32"/>
        </w:rPr>
        <w:t>引导基金委托具有相关资质的商业银行进行托管，托管银行具体负责引导基金资金拨付、清算和日常监控，并定期</w:t>
      </w:r>
      <w:r w:rsidRPr="00207937">
        <w:rPr>
          <w:rFonts w:ascii="仿宋_GB2312" w:eastAsia="仿宋_GB2312" w:hAnsi="仿宋" w:cs="仿宋" w:hint="eastAsia"/>
          <w:kern w:val="0"/>
          <w:sz w:val="32"/>
          <w:szCs w:val="32"/>
        </w:rPr>
        <w:t>向基金管理机构及区国资办</w:t>
      </w:r>
      <w:r w:rsidRPr="00207937">
        <w:rPr>
          <w:rFonts w:ascii="仿宋_GB2312" w:eastAsia="仿宋_GB2312" w:hint="eastAsia"/>
          <w:sz w:val="32"/>
          <w:szCs w:val="32"/>
        </w:rPr>
        <w:t>报告资金运作情况。</w:t>
      </w:r>
    </w:p>
    <w:p w14:paraId="144C09AE" w14:textId="77777777" w:rsidR="005C4BAC" w:rsidRDefault="002A7129" w:rsidP="008053DA">
      <w:pPr>
        <w:widowControl/>
        <w:shd w:val="clear" w:color="auto" w:fill="FFFFFF"/>
        <w:spacing w:line="592" w:lineRule="atLeast"/>
        <w:ind w:firstLine="640"/>
        <w:jc w:val="left"/>
        <w:rPr>
          <w:rFonts w:ascii="仿宋_GB2312" w:eastAsia="仿宋_GB2312" w:hAnsi="黑体" w:cs="宋体"/>
          <w:kern w:val="0"/>
          <w:sz w:val="32"/>
          <w:szCs w:val="32"/>
        </w:rPr>
      </w:pPr>
      <w:r>
        <w:rPr>
          <w:rFonts w:ascii="黑体" w:eastAsia="黑体" w:hAnsi="黑体" w:cs="宋体" w:hint="eastAsia"/>
          <w:kern w:val="0"/>
          <w:sz w:val="32"/>
          <w:szCs w:val="32"/>
        </w:rPr>
        <w:t xml:space="preserve">第二十三条 </w:t>
      </w:r>
      <w:r w:rsidR="00D87083" w:rsidRPr="00D87083">
        <w:rPr>
          <w:rFonts w:ascii="仿宋_GB2312" w:eastAsia="仿宋_GB2312" w:hAnsi="黑体" w:cs="宋体" w:hint="eastAsia"/>
          <w:kern w:val="0"/>
          <w:sz w:val="32"/>
          <w:szCs w:val="32"/>
        </w:rPr>
        <w:t>引导基金</w:t>
      </w:r>
      <w:r w:rsidR="00D87083">
        <w:rPr>
          <w:rFonts w:ascii="仿宋_GB2312" w:eastAsia="仿宋_GB2312" w:hAnsi="黑体" w:cs="宋体" w:hint="eastAsia"/>
          <w:kern w:val="0"/>
          <w:sz w:val="32"/>
          <w:szCs w:val="32"/>
        </w:rPr>
        <w:t>原则上以自</w:t>
      </w:r>
      <w:r w:rsidR="00F146E5">
        <w:rPr>
          <w:rFonts w:ascii="仿宋_GB2312" w:eastAsia="仿宋_GB2312" w:hAnsi="黑体" w:cs="宋体" w:hint="eastAsia"/>
          <w:kern w:val="0"/>
          <w:sz w:val="32"/>
          <w:szCs w:val="32"/>
        </w:rPr>
        <w:t>有</w:t>
      </w:r>
      <w:r w:rsidR="00D87083">
        <w:rPr>
          <w:rFonts w:ascii="仿宋_GB2312" w:eastAsia="仿宋_GB2312" w:hAnsi="黑体" w:cs="宋体" w:hint="eastAsia"/>
          <w:kern w:val="0"/>
          <w:sz w:val="32"/>
          <w:szCs w:val="32"/>
        </w:rPr>
        <w:t>资金对外投资，无资金来源时不得新增对外投资；引导基金与</w:t>
      </w:r>
      <w:r w:rsidR="00F146E5">
        <w:rPr>
          <w:rFonts w:ascii="仿宋_GB2312" w:eastAsia="仿宋_GB2312" w:hAnsi="黑体" w:cs="宋体" w:hint="eastAsia"/>
          <w:kern w:val="0"/>
          <w:sz w:val="32"/>
          <w:szCs w:val="32"/>
        </w:rPr>
        <w:t>区</w:t>
      </w:r>
      <w:r w:rsidR="00D87083">
        <w:rPr>
          <w:rFonts w:ascii="仿宋_GB2312" w:eastAsia="仿宋_GB2312" w:hAnsi="黑体" w:cs="宋体" w:hint="eastAsia"/>
          <w:kern w:val="0"/>
          <w:sz w:val="32"/>
          <w:szCs w:val="32"/>
        </w:rPr>
        <w:t>属其他国</w:t>
      </w:r>
      <w:r w:rsidR="00F146E5">
        <w:rPr>
          <w:rFonts w:ascii="仿宋_GB2312" w:eastAsia="仿宋_GB2312" w:hAnsi="黑体" w:cs="宋体" w:hint="eastAsia"/>
          <w:kern w:val="0"/>
          <w:sz w:val="32"/>
          <w:szCs w:val="32"/>
        </w:rPr>
        <w:t>有</w:t>
      </w:r>
      <w:r w:rsidR="00D87083">
        <w:rPr>
          <w:rFonts w:ascii="仿宋_GB2312" w:eastAsia="仿宋_GB2312" w:hAnsi="黑体" w:cs="宋体" w:hint="eastAsia"/>
          <w:kern w:val="0"/>
          <w:sz w:val="32"/>
          <w:szCs w:val="32"/>
        </w:rPr>
        <w:t>资本或基金，实行差异化投资策略，原则上不同时投资于同一个项目；对单个企业的投资额原则上不得超过基金资产总值的2</w:t>
      </w:r>
      <w:r w:rsidR="00D87083">
        <w:rPr>
          <w:rFonts w:ascii="仿宋_GB2312" w:eastAsia="仿宋_GB2312" w:hAnsi="黑体" w:cs="宋体"/>
          <w:kern w:val="0"/>
          <w:sz w:val="32"/>
          <w:szCs w:val="32"/>
        </w:rPr>
        <w:t>0%</w:t>
      </w:r>
      <w:r w:rsidR="00D87083">
        <w:rPr>
          <w:rFonts w:ascii="仿宋_GB2312" w:eastAsia="仿宋_GB2312" w:hAnsi="黑体" w:cs="宋体" w:hint="eastAsia"/>
          <w:kern w:val="0"/>
          <w:sz w:val="32"/>
          <w:szCs w:val="32"/>
        </w:rPr>
        <w:t>。</w:t>
      </w:r>
    </w:p>
    <w:p w14:paraId="129F0CF2" w14:textId="72D7EE08" w:rsidR="002A7129" w:rsidRDefault="00D87083" w:rsidP="002A7129">
      <w:pPr>
        <w:widowControl/>
        <w:shd w:val="clear" w:color="auto" w:fill="FFFFFF"/>
        <w:spacing w:line="592" w:lineRule="atLeast"/>
        <w:ind w:firstLine="640"/>
        <w:jc w:val="left"/>
        <w:rPr>
          <w:rFonts w:ascii="仿宋_GB2312" w:eastAsia="仿宋_GB2312"/>
          <w:sz w:val="32"/>
          <w:szCs w:val="32"/>
        </w:rPr>
      </w:pPr>
      <w:r>
        <w:rPr>
          <w:rFonts w:ascii="仿宋_GB2312" w:eastAsia="仿宋_GB2312" w:hAnsi="黑体" w:cs="宋体" w:hint="eastAsia"/>
          <w:kern w:val="0"/>
          <w:sz w:val="32"/>
          <w:szCs w:val="32"/>
        </w:rPr>
        <w:t>引导基金闲置资金运营</w:t>
      </w:r>
      <w:r w:rsidR="005A57D9">
        <w:rPr>
          <w:rFonts w:ascii="仿宋_GB2312" w:eastAsia="仿宋_GB2312" w:hAnsi="黑体" w:cs="宋体" w:hint="eastAsia"/>
          <w:kern w:val="0"/>
          <w:sz w:val="32"/>
          <w:szCs w:val="32"/>
        </w:rPr>
        <w:t>坚持</w:t>
      </w:r>
      <w:r>
        <w:rPr>
          <w:rFonts w:ascii="仿宋_GB2312" w:eastAsia="仿宋_GB2312" w:hAnsi="黑体" w:cs="宋体" w:hint="eastAsia"/>
          <w:kern w:val="0"/>
          <w:sz w:val="32"/>
          <w:szCs w:val="32"/>
        </w:rPr>
        <w:t>合规、稳健和效益原则，不得从事对外担保、抵押、委托贷款等业务；不得投资二级市场股票、期货、房地产、证券投资基金及其他金融衍生品；不得向任何第三方</w:t>
      </w:r>
      <w:r w:rsidR="00CE0B1B">
        <w:rPr>
          <w:rFonts w:ascii="仿宋_GB2312" w:eastAsia="仿宋_GB2312" w:hAnsi="黑体" w:cs="宋体" w:hint="eastAsia"/>
          <w:kern w:val="0"/>
          <w:sz w:val="32"/>
          <w:szCs w:val="32"/>
        </w:rPr>
        <w:t>提供赞助、捐赠（</w:t>
      </w:r>
      <w:r w:rsidR="00CE0B1B">
        <w:rPr>
          <w:rFonts w:ascii="仿宋_GB2312" w:eastAsia="仿宋_GB2312" w:hint="eastAsia"/>
          <w:sz w:val="32"/>
          <w:szCs w:val="32"/>
        </w:rPr>
        <w:t>经批准的公益性捐</w:t>
      </w:r>
      <w:r w:rsidR="00F146E5">
        <w:rPr>
          <w:rFonts w:ascii="仿宋_GB2312" w:eastAsia="仿宋_GB2312" w:hint="eastAsia"/>
          <w:sz w:val="32"/>
          <w:szCs w:val="32"/>
        </w:rPr>
        <w:t>赠</w:t>
      </w:r>
      <w:r w:rsidR="00CE0B1B">
        <w:rPr>
          <w:rFonts w:ascii="仿宋_GB2312" w:eastAsia="仿宋_GB2312" w:hint="eastAsia"/>
          <w:sz w:val="32"/>
          <w:szCs w:val="32"/>
        </w:rPr>
        <w:t>除外</w:t>
      </w:r>
      <w:r w:rsidR="00CE0B1B">
        <w:rPr>
          <w:rFonts w:ascii="仿宋_GB2312" w:eastAsia="仿宋_GB2312" w:hAnsi="黑体" w:cs="宋体" w:hint="eastAsia"/>
          <w:kern w:val="0"/>
          <w:sz w:val="32"/>
          <w:szCs w:val="32"/>
        </w:rPr>
        <w:t>）；不得</w:t>
      </w:r>
      <w:r w:rsidR="00CE0B1B">
        <w:rPr>
          <w:rFonts w:ascii="仿宋_GB2312" w:eastAsia="仿宋_GB2312" w:hint="eastAsia"/>
          <w:sz w:val="32"/>
          <w:szCs w:val="32"/>
        </w:rPr>
        <w:t>吸收或变相吸收存款，或向第三方提供贷款和资金拆借；不得进行承担无限连带责任的对外投资等；</w:t>
      </w:r>
      <w:r w:rsidR="002A7129">
        <w:rPr>
          <w:rFonts w:ascii="仿宋_GB2312" w:eastAsia="仿宋_GB2312" w:hAnsi="华文仿宋" w:cs="仿宋_GB2312" w:hint="eastAsia"/>
          <w:kern w:val="0"/>
          <w:sz w:val="32"/>
          <w:szCs w:val="32"/>
        </w:rPr>
        <w:t>为提高</w:t>
      </w:r>
      <w:r w:rsidR="002A7129">
        <w:rPr>
          <w:rFonts w:ascii="仿宋_GB2312" w:eastAsia="仿宋_GB2312" w:hAnsi="华文仿宋" w:cs="仿宋_GB2312" w:hint="eastAsia"/>
          <w:kern w:val="0"/>
          <w:sz w:val="32"/>
          <w:szCs w:val="32"/>
        </w:rPr>
        <w:lastRenderedPageBreak/>
        <w:t>资金使用效率，引导基金的闲置资金可用于购买国债以及保本类的银行理财类产品，经区国资委批准后可参与认购支</w:t>
      </w:r>
      <w:r w:rsidR="002A7129">
        <w:rPr>
          <w:rFonts w:ascii="仿宋_GB2312" w:eastAsia="仿宋_GB2312" w:hint="eastAsia"/>
          <w:sz w:val="32"/>
          <w:szCs w:val="32"/>
        </w:rPr>
        <w:t>持我区中</w:t>
      </w:r>
      <w:r w:rsidR="002A7129">
        <w:rPr>
          <w:rFonts w:ascii="仿宋_GB2312" w:eastAsia="仿宋_GB2312" w:hAnsi="华文仿宋" w:cs="仿宋_GB2312" w:hint="eastAsia"/>
          <w:kern w:val="0"/>
          <w:sz w:val="32"/>
          <w:szCs w:val="32"/>
        </w:rPr>
        <w:t>小企业融资的金融产品。</w:t>
      </w:r>
    </w:p>
    <w:p w14:paraId="7AC06478"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第二十四条</w:t>
      </w:r>
      <w:r>
        <w:rPr>
          <w:rFonts w:ascii="仿宋_GB2312" w:eastAsia="仿宋_GB2312" w:hint="eastAsia"/>
          <w:b/>
          <w:sz w:val="32"/>
          <w:szCs w:val="32"/>
        </w:rPr>
        <w:t xml:space="preserve"> </w:t>
      </w:r>
      <w:r>
        <w:rPr>
          <w:rFonts w:ascii="仿宋_GB2312" w:eastAsia="仿宋_GB2312" w:hint="eastAsia"/>
          <w:sz w:val="32"/>
          <w:szCs w:val="32"/>
        </w:rPr>
        <w:t>引导基金应当遵照有关规定，建立健全内部控制和外部监管制度，建立投资决策和风险约束机制，加强投后管理，切实防范基金运作过程中可能出现的风险，保障引导基金运行安全。</w:t>
      </w:r>
    </w:p>
    <w:p w14:paraId="41DB5784" w14:textId="7500F322"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第二十五条</w:t>
      </w:r>
      <w:r w:rsidR="00A473A7">
        <w:rPr>
          <w:rFonts w:ascii="黑体" w:eastAsia="黑体" w:hAnsi="黑体" w:cs="宋体" w:hint="eastAsia"/>
          <w:kern w:val="0"/>
          <w:sz w:val="32"/>
          <w:szCs w:val="32"/>
        </w:rPr>
        <w:t xml:space="preserve"> </w:t>
      </w:r>
      <w:r w:rsidR="00A473A7">
        <w:rPr>
          <w:rFonts w:ascii="仿宋_GB2312" w:eastAsia="仿宋_GB2312" w:hint="eastAsia"/>
          <w:sz w:val="32"/>
          <w:szCs w:val="32"/>
        </w:rPr>
        <w:t>管理机构对参股基金</w:t>
      </w:r>
      <w:r>
        <w:rPr>
          <w:rFonts w:ascii="仿宋_GB2312" w:eastAsia="仿宋_GB2312" w:hint="eastAsia"/>
          <w:sz w:val="32"/>
          <w:szCs w:val="32"/>
        </w:rPr>
        <w:t>管理机构未按本办法要求开展投资业务的，应按约定要求参股基金管理机构进行调整；协调无效的，报请区国资委同意后，将引导基金从参股基金中退出，并追究有关法律责任。</w:t>
      </w:r>
    </w:p>
    <w:p w14:paraId="16B9299D" w14:textId="77777777"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第二十六条</w:t>
      </w:r>
      <w:r>
        <w:rPr>
          <w:rFonts w:ascii="仿宋_GB2312" w:eastAsia="仿宋_GB2312" w:hint="eastAsia"/>
          <w:b/>
          <w:sz w:val="32"/>
          <w:szCs w:val="32"/>
        </w:rPr>
        <w:t xml:space="preserve"> </w:t>
      </w:r>
      <w:r w:rsidRPr="00A473A7">
        <w:rPr>
          <w:rFonts w:ascii="仿宋_GB2312" w:eastAsia="仿宋_GB2312" w:hint="eastAsia"/>
          <w:sz w:val="32"/>
          <w:szCs w:val="32"/>
        </w:rPr>
        <w:t>引导</w:t>
      </w:r>
      <w:r>
        <w:rPr>
          <w:rFonts w:ascii="仿宋_GB2312" w:eastAsia="仿宋_GB2312" w:hint="eastAsia"/>
          <w:sz w:val="32"/>
          <w:szCs w:val="32"/>
        </w:rPr>
        <w:t>基金管理机构应按月向区国资办报送引导基金投资运作、资金使用等情况，并抄送相关部门；及时报告运作过程中的重大事件，并于每个会计年度结束后的</w:t>
      </w:r>
      <w:r>
        <w:rPr>
          <w:rFonts w:ascii="仿宋_GB2312" w:eastAsia="仿宋_GB2312"/>
          <w:sz w:val="32"/>
          <w:szCs w:val="32"/>
        </w:rPr>
        <w:t>4</w:t>
      </w:r>
      <w:r>
        <w:rPr>
          <w:rFonts w:ascii="仿宋_GB2312" w:eastAsia="仿宋_GB2312" w:hint="eastAsia"/>
          <w:sz w:val="32"/>
          <w:szCs w:val="32"/>
        </w:rPr>
        <w:t>个月内提交经注册会计师审计的年度会计报表。</w:t>
      </w:r>
    </w:p>
    <w:p w14:paraId="587E2A86" w14:textId="38027515"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第二十七条 </w:t>
      </w:r>
      <w:r>
        <w:rPr>
          <w:rFonts w:ascii="仿宋_GB2312" w:eastAsia="仿宋_GB2312" w:hint="eastAsia"/>
          <w:sz w:val="32"/>
          <w:szCs w:val="32"/>
        </w:rPr>
        <w:t>区国资办对引导基金监管决策把关时，应建立专家评审制度。评审委员会由区国资办按照不同决策事项，聘请产业专家及投资、管理、财务、法律等方面专家组成。</w:t>
      </w:r>
      <w:bookmarkStart w:id="2" w:name="_Hlk508013120"/>
      <w:r>
        <w:rPr>
          <w:rFonts w:ascii="仿宋_GB2312" w:eastAsia="仿宋_GB2312" w:hint="eastAsia"/>
          <w:sz w:val="32"/>
          <w:szCs w:val="32"/>
        </w:rPr>
        <w:t>评审委员会对基金直接投资方案、跟进投资方案和规模较大的基金组建方案</w:t>
      </w:r>
      <w:bookmarkEnd w:id="2"/>
      <w:r>
        <w:rPr>
          <w:rFonts w:ascii="仿宋_GB2312" w:eastAsia="仿宋_GB2312" w:hint="eastAsia"/>
          <w:sz w:val="32"/>
          <w:szCs w:val="32"/>
        </w:rPr>
        <w:t>，以及基金管理机构完成的尽职调查报告进行独立评审，向区国资办提交评审意见。</w:t>
      </w:r>
    </w:p>
    <w:p w14:paraId="7B32433F" w14:textId="0500E0FE" w:rsidR="002A7129" w:rsidRDefault="002A7129" w:rsidP="002A7129">
      <w:pPr>
        <w:widowControl/>
        <w:shd w:val="clear" w:color="auto" w:fill="FFFFFF"/>
        <w:spacing w:line="592" w:lineRule="atLeast"/>
        <w:ind w:firstLine="640"/>
        <w:jc w:val="left"/>
        <w:rPr>
          <w:rFonts w:ascii="仿宋" w:eastAsia="仿宋" w:hAnsi="仿宋" w:cs="仿宋"/>
          <w:kern w:val="0"/>
          <w:sz w:val="32"/>
          <w:szCs w:val="32"/>
        </w:rPr>
      </w:pPr>
      <w:r>
        <w:rPr>
          <w:rFonts w:ascii="黑体" w:eastAsia="黑体" w:hAnsi="黑体" w:cs="宋体" w:hint="eastAsia"/>
          <w:kern w:val="0"/>
          <w:sz w:val="32"/>
          <w:szCs w:val="32"/>
        </w:rPr>
        <w:lastRenderedPageBreak/>
        <w:t>第二十八条</w:t>
      </w:r>
      <w:r>
        <w:rPr>
          <w:rFonts w:ascii="仿宋_GB2312" w:eastAsia="仿宋_GB2312"/>
          <w:sz w:val="32"/>
          <w:szCs w:val="32"/>
        </w:rPr>
        <w:t xml:space="preserve"> </w:t>
      </w:r>
      <w:r>
        <w:rPr>
          <w:rFonts w:ascii="仿宋_GB2312" w:eastAsia="仿宋_GB2312" w:hint="eastAsia"/>
          <w:sz w:val="32"/>
          <w:szCs w:val="32"/>
        </w:rPr>
        <w:t>区国资办负责对管理机构履行职责情况和引导基金投资形成的资产进行日常监督，定期进行监督检查，并委托社会中介机构对引导基金运作情况进行审计。引导基金接受审计部门的审计监督。</w:t>
      </w:r>
    </w:p>
    <w:p w14:paraId="524ACFA8" w14:textId="77777777" w:rsidR="002A7129" w:rsidRDefault="002A7129" w:rsidP="002A7129">
      <w:pPr>
        <w:widowControl/>
        <w:shd w:val="clear" w:color="auto" w:fill="FFFFFF"/>
        <w:spacing w:line="592" w:lineRule="atLeast"/>
        <w:ind w:firstLine="640"/>
        <w:jc w:val="left"/>
        <w:rPr>
          <w:rFonts w:ascii="仿宋_GB2312" w:eastAsia="仿宋_GB2312"/>
          <w:sz w:val="18"/>
          <w:szCs w:val="18"/>
        </w:rPr>
      </w:pPr>
    </w:p>
    <w:p w14:paraId="1B0D3EF8" w14:textId="48667B72" w:rsidR="002A7129" w:rsidRDefault="002A7129" w:rsidP="002A7129">
      <w:pPr>
        <w:widowControl/>
        <w:shd w:val="clear" w:color="auto" w:fill="FFFFFF"/>
        <w:spacing w:line="592" w:lineRule="atLeast"/>
        <w:jc w:val="center"/>
        <w:rPr>
          <w:rFonts w:ascii="黑体" w:eastAsia="黑体"/>
          <w:sz w:val="32"/>
          <w:szCs w:val="32"/>
        </w:rPr>
      </w:pPr>
      <w:r>
        <w:rPr>
          <w:rFonts w:ascii="黑体" w:eastAsia="黑体" w:hint="eastAsia"/>
          <w:sz w:val="32"/>
          <w:szCs w:val="32"/>
        </w:rPr>
        <w:t xml:space="preserve">第六章 </w:t>
      </w:r>
      <w:r>
        <w:rPr>
          <w:rFonts w:ascii="黑体" w:eastAsia="黑体"/>
          <w:sz w:val="32"/>
          <w:szCs w:val="32"/>
        </w:rPr>
        <w:t> </w:t>
      </w:r>
      <w:r>
        <w:rPr>
          <w:rFonts w:ascii="黑体" w:eastAsia="黑体" w:hint="eastAsia"/>
          <w:sz w:val="32"/>
          <w:szCs w:val="32"/>
        </w:rPr>
        <w:t>绩效评价</w:t>
      </w:r>
    </w:p>
    <w:p w14:paraId="663568E3" w14:textId="21703C9E"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第二十九条</w:t>
      </w:r>
      <w:r>
        <w:rPr>
          <w:rFonts w:ascii="仿宋_GB2312" w:eastAsia="仿宋_GB2312"/>
          <w:sz w:val="32"/>
          <w:szCs w:val="32"/>
        </w:rPr>
        <w:t xml:space="preserve"> </w:t>
      </w:r>
      <w:r>
        <w:rPr>
          <w:rFonts w:ascii="仿宋_GB2312" w:eastAsia="仿宋_GB2312" w:hint="eastAsia"/>
          <w:sz w:val="32"/>
          <w:szCs w:val="32"/>
        </w:rPr>
        <w:t>引导基金管理机构按年度对引导基金政策目标实现程度、投资运营情况等开展自我评估，并形成书面报告报区国资办。区国资办对自评报告进行审核，并向区国资委报告。</w:t>
      </w:r>
    </w:p>
    <w:p w14:paraId="2A05C088" w14:textId="1EB9A70A"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第三十条 </w:t>
      </w:r>
      <w:r w:rsidRPr="00FA28E1">
        <w:rPr>
          <w:rFonts w:ascii="仿宋_GB2312" w:eastAsia="仿宋_GB2312" w:hint="eastAsia"/>
          <w:sz w:val="32"/>
          <w:szCs w:val="32"/>
        </w:rPr>
        <w:t>对引导基金的考核除投资项目、投资额、投资收益、风险控制等内容外，还要综合考核引导</w:t>
      </w:r>
      <w:r w:rsidRPr="00FA28E1">
        <w:rPr>
          <w:rFonts w:ascii="仿宋_GB2312" w:eastAsia="仿宋_GB2312" w:hAnsi="仿宋" w:cs="仿宋" w:hint="eastAsia"/>
          <w:sz w:val="32"/>
          <w:szCs w:val="32"/>
        </w:rPr>
        <w:t>基金的引导作用和放大效应，促进产业结构调整升级、对所投产业的拉动效果等社会贡献指标。</w:t>
      </w:r>
      <w:r w:rsidRPr="00FA28E1">
        <w:rPr>
          <w:rFonts w:ascii="仿宋_GB2312" w:eastAsia="仿宋_GB2312" w:hint="eastAsia"/>
          <w:sz w:val="32"/>
          <w:szCs w:val="32"/>
        </w:rPr>
        <w:t>针对基金投资的长期性特点，确定适宜的考核周期，投资收益按照所参与基金的存续期进行综合考核。</w:t>
      </w:r>
    </w:p>
    <w:p w14:paraId="39B7E2BF" w14:textId="60D3AF8D" w:rsidR="002A7129" w:rsidRDefault="002A7129" w:rsidP="002A7129">
      <w:pPr>
        <w:spacing w:line="580" w:lineRule="exact"/>
        <w:ind w:firstLine="645"/>
        <w:rPr>
          <w:rFonts w:ascii="仿宋_GB2312" w:eastAsia="仿宋_GB2312" w:hAnsi="宋体" w:cs="宋体"/>
          <w:kern w:val="0"/>
          <w:sz w:val="32"/>
          <w:szCs w:val="32"/>
        </w:rPr>
      </w:pPr>
      <w:r>
        <w:rPr>
          <w:rFonts w:ascii="黑体" w:eastAsia="黑体" w:hAnsi="黑体" w:cs="宋体" w:hint="eastAsia"/>
          <w:kern w:val="0"/>
          <w:sz w:val="32"/>
          <w:szCs w:val="32"/>
        </w:rPr>
        <w:t>第三十一条</w:t>
      </w:r>
      <w:r>
        <w:rPr>
          <w:rFonts w:ascii="仿宋_GB2312" w:eastAsia="仿宋_GB2312" w:hint="eastAsia"/>
          <w:sz w:val="32"/>
          <w:szCs w:val="32"/>
        </w:rPr>
        <w:t xml:space="preserve"> 委托管理的</w:t>
      </w:r>
      <w:r w:rsidR="000434A8">
        <w:rPr>
          <w:rFonts w:ascii="仿宋_GB2312" w:eastAsia="仿宋_GB2312" w:hint="eastAsia"/>
          <w:sz w:val="32"/>
          <w:szCs w:val="32"/>
        </w:rPr>
        <w:t>引导</w:t>
      </w:r>
      <w:r>
        <w:rPr>
          <w:rFonts w:ascii="仿宋_GB2312" w:eastAsia="仿宋_GB2312" w:hint="eastAsia"/>
          <w:sz w:val="32"/>
          <w:szCs w:val="32"/>
        </w:rPr>
        <w:t>基金向基金管理机构支付管理费。年度</w:t>
      </w:r>
      <w:r>
        <w:rPr>
          <w:rFonts w:ascii="仿宋_GB2312" w:eastAsia="仿宋_GB2312" w:hAnsi="宋体" w:cs="宋体" w:hint="eastAsia"/>
          <w:kern w:val="0"/>
          <w:sz w:val="32"/>
          <w:szCs w:val="32"/>
        </w:rPr>
        <w:t>管理费按照基金实际到位资金的1</w:t>
      </w:r>
      <w:r>
        <w:rPr>
          <w:rFonts w:ascii="仿宋_GB2312" w:eastAsia="仿宋_GB2312" w:hAnsi="宋体" w:cs="宋体"/>
          <w:kern w:val="0"/>
          <w:sz w:val="32"/>
          <w:szCs w:val="32"/>
        </w:rPr>
        <w:t>%</w:t>
      </w:r>
      <w:r>
        <w:rPr>
          <w:rFonts w:ascii="仿宋_GB2312" w:eastAsia="仿宋_GB2312" w:hAnsi="宋体" w:cs="宋体" w:hint="eastAsia"/>
          <w:kern w:val="0"/>
          <w:sz w:val="32"/>
          <w:szCs w:val="32"/>
        </w:rPr>
        <w:t>提取，并与基金投资进度、投资效果挂钩</w:t>
      </w:r>
      <w:r w:rsidR="000718F6">
        <w:rPr>
          <w:rFonts w:ascii="仿宋_GB2312" w:eastAsia="仿宋_GB2312" w:hAnsi="宋体" w:cs="宋体" w:hint="eastAsia"/>
          <w:kern w:val="0"/>
          <w:sz w:val="32"/>
          <w:szCs w:val="32"/>
        </w:rPr>
        <w:t>，具体由出资人在基金章程或合伙协议中约定。</w:t>
      </w:r>
    </w:p>
    <w:p w14:paraId="34956F8A" w14:textId="34029DCC" w:rsidR="00C014EE" w:rsidRDefault="00C014EE" w:rsidP="00C014EE">
      <w:pPr>
        <w:widowControl/>
        <w:shd w:val="clear" w:color="auto" w:fill="FFFFFF"/>
        <w:spacing w:line="592" w:lineRule="atLeast"/>
        <w:ind w:firstLine="640"/>
        <w:jc w:val="left"/>
        <w:rPr>
          <w:rFonts w:ascii="仿宋_GB2312" w:eastAsia="仿宋_GB2312" w:hAnsi="宋体" w:cs="宋体"/>
          <w:kern w:val="0"/>
          <w:sz w:val="32"/>
          <w:szCs w:val="32"/>
        </w:rPr>
      </w:pPr>
      <w:r>
        <w:rPr>
          <w:rFonts w:ascii="黑体" w:eastAsia="黑体" w:hAnsi="黑体" w:cs="宋体" w:hint="eastAsia"/>
          <w:kern w:val="0"/>
          <w:sz w:val="32"/>
          <w:szCs w:val="32"/>
        </w:rPr>
        <w:t xml:space="preserve">第三十二条 </w:t>
      </w:r>
      <w:r w:rsidRPr="00201BA1">
        <w:rPr>
          <w:rFonts w:ascii="仿宋_GB2312" w:eastAsia="仿宋_GB2312" w:hAnsi="黑体" w:cs="宋体" w:hint="eastAsia"/>
          <w:kern w:val="0"/>
          <w:sz w:val="32"/>
          <w:szCs w:val="32"/>
        </w:rPr>
        <w:t>基金绩效考核及尽职免责办法另行制定</w:t>
      </w:r>
      <w:r>
        <w:rPr>
          <w:rFonts w:ascii="仿宋_GB2312" w:eastAsia="仿宋_GB2312" w:hAnsi="黑体" w:cs="宋体" w:hint="eastAsia"/>
          <w:kern w:val="0"/>
          <w:sz w:val="32"/>
          <w:szCs w:val="32"/>
        </w:rPr>
        <w:t>。</w:t>
      </w:r>
    </w:p>
    <w:p w14:paraId="5E827BD9" w14:textId="77777777" w:rsidR="002A7129" w:rsidRDefault="002A7129" w:rsidP="002A7129">
      <w:pPr>
        <w:widowControl/>
        <w:shd w:val="clear" w:color="auto" w:fill="FFFFFF"/>
        <w:spacing w:line="592" w:lineRule="atLeast"/>
        <w:jc w:val="center"/>
        <w:rPr>
          <w:rFonts w:ascii="黑体" w:eastAsia="黑体"/>
          <w:sz w:val="32"/>
          <w:szCs w:val="32"/>
        </w:rPr>
      </w:pPr>
    </w:p>
    <w:p w14:paraId="4ED61217" w14:textId="1E9AAA05" w:rsidR="002A7129" w:rsidRDefault="002A7129" w:rsidP="002A7129">
      <w:pPr>
        <w:widowControl/>
        <w:shd w:val="clear" w:color="auto" w:fill="FFFFFF"/>
        <w:spacing w:line="592" w:lineRule="atLeast"/>
        <w:jc w:val="center"/>
        <w:rPr>
          <w:rFonts w:ascii="黑体" w:eastAsia="黑体"/>
          <w:sz w:val="32"/>
          <w:szCs w:val="32"/>
        </w:rPr>
      </w:pPr>
      <w:r>
        <w:rPr>
          <w:rFonts w:ascii="黑体" w:eastAsia="黑体" w:hint="eastAsia"/>
          <w:sz w:val="32"/>
          <w:szCs w:val="32"/>
        </w:rPr>
        <w:lastRenderedPageBreak/>
        <w:t>第七章</w:t>
      </w:r>
      <w:r>
        <w:rPr>
          <w:rFonts w:ascii="黑体" w:eastAsia="黑体"/>
          <w:sz w:val="32"/>
          <w:szCs w:val="32"/>
        </w:rPr>
        <w:t> </w:t>
      </w:r>
      <w:r>
        <w:rPr>
          <w:rFonts w:ascii="黑体" w:eastAsia="黑体"/>
          <w:sz w:val="32"/>
          <w:szCs w:val="32"/>
        </w:rPr>
        <w:t xml:space="preserve">  </w:t>
      </w:r>
      <w:r>
        <w:rPr>
          <w:rFonts w:ascii="黑体" w:eastAsia="黑体" w:hint="eastAsia"/>
          <w:sz w:val="32"/>
          <w:szCs w:val="32"/>
        </w:rPr>
        <w:t>附</w:t>
      </w:r>
      <w:r>
        <w:rPr>
          <w:rFonts w:ascii="黑体" w:eastAsia="黑体"/>
          <w:sz w:val="32"/>
          <w:szCs w:val="32"/>
        </w:rPr>
        <w:t> </w:t>
      </w:r>
      <w:r>
        <w:rPr>
          <w:rFonts w:ascii="黑体" w:eastAsia="黑体" w:hint="eastAsia"/>
          <w:sz w:val="32"/>
          <w:szCs w:val="32"/>
        </w:rPr>
        <w:t>则</w:t>
      </w:r>
    </w:p>
    <w:p w14:paraId="0580E988" w14:textId="5BC0FFE4" w:rsidR="002A7129" w:rsidRDefault="002A712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第三十三条</w:t>
      </w:r>
      <w:r>
        <w:rPr>
          <w:rFonts w:ascii="仿宋_GB2312" w:eastAsia="仿宋_GB2312"/>
          <w:sz w:val="32"/>
          <w:szCs w:val="32"/>
        </w:rPr>
        <w:t xml:space="preserve"> </w:t>
      </w:r>
      <w:r>
        <w:rPr>
          <w:rFonts w:ascii="仿宋_GB2312" w:eastAsia="仿宋_GB2312" w:hint="eastAsia"/>
          <w:sz w:val="32"/>
          <w:szCs w:val="32"/>
        </w:rPr>
        <w:t>本办法由区</w:t>
      </w:r>
      <w:r>
        <w:rPr>
          <w:rFonts w:ascii="仿宋_GB2312" w:eastAsia="仿宋_GB2312" w:hAnsi="宋体" w:cs="宋体" w:hint="eastAsia"/>
          <w:kern w:val="0"/>
          <w:sz w:val="32"/>
          <w:szCs w:val="32"/>
        </w:rPr>
        <w:t>国资办</w:t>
      </w:r>
      <w:r>
        <w:rPr>
          <w:rFonts w:ascii="仿宋_GB2312" w:eastAsia="仿宋_GB2312" w:hint="eastAsia"/>
          <w:sz w:val="32"/>
          <w:szCs w:val="32"/>
        </w:rPr>
        <w:t>负责解释。</w:t>
      </w:r>
    </w:p>
    <w:p w14:paraId="1625A952" w14:textId="24F3D821" w:rsidR="005A57D9" w:rsidRDefault="005A57D9" w:rsidP="002A7129">
      <w:pPr>
        <w:widowControl/>
        <w:shd w:val="clear" w:color="auto" w:fill="FFFFFF"/>
        <w:spacing w:line="592" w:lineRule="atLeast"/>
        <w:ind w:firstLine="640"/>
        <w:jc w:val="left"/>
        <w:rPr>
          <w:rFonts w:ascii="仿宋_GB2312" w:eastAsia="仿宋_GB2312"/>
          <w:sz w:val="32"/>
          <w:szCs w:val="32"/>
        </w:rPr>
      </w:pPr>
      <w:r>
        <w:rPr>
          <w:rFonts w:ascii="黑体" w:eastAsia="黑体" w:hAnsi="黑体" w:cs="宋体" w:hint="eastAsia"/>
          <w:kern w:val="0"/>
          <w:sz w:val="32"/>
          <w:szCs w:val="32"/>
        </w:rPr>
        <w:t xml:space="preserve">第三十四条 </w:t>
      </w:r>
      <w:bookmarkStart w:id="3" w:name="_Hlk509421482"/>
      <w:r w:rsidRPr="005A57D9">
        <w:rPr>
          <w:rFonts w:ascii="仿宋_GB2312" w:eastAsia="仿宋_GB2312" w:hint="eastAsia"/>
          <w:sz w:val="32"/>
          <w:szCs w:val="32"/>
        </w:rPr>
        <w:t>本办法</w:t>
      </w:r>
      <w:r>
        <w:rPr>
          <w:rFonts w:ascii="仿宋_GB2312" w:eastAsia="仿宋_GB2312" w:hint="eastAsia"/>
          <w:sz w:val="32"/>
          <w:szCs w:val="32"/>
        </w:rPr>
        <w:t>适用于</w:t>
      </w:r>
      <w:r w:rsidR="00171B93">
        <w:rPr>
          <w:rFonts w:ascii="仿宋_GB2312" w:eastAsia="仿宋_GB2312" w:hint="eastAsia"/>
          <w:sz w:val="32"/>
          <w:szCs w:val="32"/>
        </w:rPr>
        <w:t>合肥经开</w:t>
      </w:r>
      <w:r w:rsidRPr="005A57D9">
        <w:rPr>
          <w:rFonts w:ascii="仿宋_GB2312" w:eastAsia="仿宋_GB2312" w:hint="eastAsia"/>
          <w:sz w:val="32"/>
          <w:szCs w:val="32"/>
        </w:rPr>
        <w:t>公共安全产业基金</w:t>
      </w:r>
      <w:r>
        <w:rPr>
          <w:rFonts w:ascii="仿宋_GB2312" w:eastAsia="仿宋_GB2312" w:hint="eastAsia"/>
          <w:sz w:val="32"/>
          <w:szCs w:val="32"/>
        </w:rPr>
        <w:t>和</w:t>
      </w:r>
      <w:r w:rsidR="00171B93">
        <w:rPr>
          <w:rFonts w:ascii="仿宋_GB2312" w:eastAsia="仿宋_GB2312" w:hint="eastAsia"/>
          <w:sz w:val="32"/>
          <w:szCs w:val="32"/>
        </w:rPr>
        <w:t>合肥经开</w:t>
      </w:r>
      <w:r w:rsidRPr="005A57D9">
        <w:rPr>
          <w:rFonts w:ascii="仿宋_GB2312" w:eastAsia="仿宋_GB2312" w:hint="eastAsia"/>
          <w:sz w:val="32"/>
          <w:szCs w:val="32"/>
        </w:rPr>
        <w:t>节能环保产业基金</w:t>
      </w:r>
      <w:r w:rsidR="00287493">
        <w:rPr>
          <w:rFonts w:ascii="仿宋_GB2312" w:eastAsia="仿宋_GB2312" w:hint="eastAsia"/>
          <w:sz w:val="32"/>
          <w:szCs w:val="32"/>
        </w:rPr>
        <w:t>的</w:t>
      </w:r>
      <w:r>
        <w:rPr>
          <w:rFonts w:ascii="仿宋_GB2312" w:eastAsia="仿宋_GB2312" w:hint="eastAsia"/>
          <w:sz w:val="32"/>
          <w:szCs w:val="32"/>
        </w:rPr>
        <w:t>管理</w:t>
      </w:r>
      <w:bookmarkEnd w:id="3"/>
      <w:r>
        <w:rPr>
          <w:rFonts w:ascii="仿宋_GB2312" w:eastAsia="仿宋_GB2312" w:hint="eastAsia"/>
          <w:sz w:val="32"/>
          <w:szCs w:val="32"/>
        </w:rPr>
        <w:t>。</w:t>
      </w:r>
    </w:p>
    <w:p w14:paraId="3D8BAC78" w14:textId="065695C1" w:rsidR="002A7129" w:rsidRDefault="002A7129" w:rsidP="002A7129">
      <w:pPr>
        <w:ind w:firstLine="645"/>
        <w:rPr>
          <w:rFonts w:ascii="仿宋_GB2312" w:eastAsia="仿宋_GB2312"/>
          <w:sz w:val="32"/>
          <w:szCs w:val="32"/>
        </w:rPr>
      </w:pPr>
      <w:r>
        <w:rPr>
          <w:rFonts w:ascii="黑体" w:eastAsia="黑体" w:hAnsi="黑体" w:cs="宋体" w:hint="eastAsia"/>
          <w:kern w:val="0"/>
          <w:sz w:val="32"/>
          <w:szCs w:val="32"/>
        </w:rPr>
        <w:t>第三十</w:t>
      </w:r>
      <w:r w:rsidR="005A57D9">
        <w:rPr>
          <w:rFonts w:ascii="黑体" w:eastAsia="黑体" w:hAnsi="黑体" w:cs="宋体" w:hint="eastAsia"/>
          <w:kern w:val="0"/>
          <w:sz w:val="32"/>
          <w:szCs w:val="32"/>
        </w:rPr>
        <w:t>五</w:t>
      </w:r>
      <w:r>
        <w:rPr>
          <w:rFonts w:ascii="黑体" w:eastAsia="黑体" w:hAnsi="黑体" w:cs="宋体" w:hint="eastAsia"/>
          <w:kern w:val="0"/>
          <w:sz w:val="32"/>
          <w:szCs w:val="32"/>
        </w:rPr>
        <w:t>条</w:t>
      </w:r>
      <w:r>
        <w:rPr>
          <w:rFonts w:ascii="仿宋_GB2312" w:eastAsia="仿宋_GB2312" w:hint="eastAsia"/>
          <w:b/>
          <w:sz w:val="32"/>
          <w:szCs w:val="32"/>
        </w:rPr>
        <w:t xml:space="preserve"> </w:t>
      </w:r>
      <w:r>
        <w:rPr>
          <w:rFonts w:ascii="仿宋_GB2312" w:eastAsia="仿宋_GB2312" w:hint="eastAsia"/>
          <w:sz w:val="32"/>
          <w:szCs w:val="32"/>
        </w:rPr>
        <w:t>本办法自201</w:t>
      </w:r>
      <w:r w:rsidR="00DB4907">
        <w:rPr>
          <w:rFonts w:ascii="仿宋_GB2312" w:eastAsia="仿宋_GB2312"/>
          <w:sz w:val="32"/>
          <w:szCs w:val="32"/>
        </w:rPr>
        <w:t>8</w:t>
      </w:r>
      <w:r>
        <w:rPr>
          <w:rFonts w:ascii="仿宋_GB2312" w:eastAsia="仿宋_GB2312" w:hint="eastAsia"/>
          <w:sz w:val="32"/>
          <w:szCs w:val="32"/>
        </w:rPr>
        <w:t>年</w:t>
      </w:r>
      <w:r w:rsidR="00DB4907">
        <w:rPr>
          <w:rFonts w:ascii="仿宋_GB2312" w:eastAsia="仿宋_GB2312"/>
          <w:sz w:val="32"/>
          <w:szCs w:val="32"/>
        </w:rPr>
        <w:t>1</w:t>
      </w:r>
      <w:r>
        <w:rPr>
          <w:rFonts w:ascii="仿宋_GB2312" w:eastAsia="仿宋_GB2312" w:hint="eastAsia"/>
          <w:sz w:val="32"/>
          <w:szCs w:val="32"/>
        </w:rPr>
        <w:t>月1日起施行，有效期1年；</w:t>
      </w:r>
      <w:bookmarkStart w:id="4" w:name="_Hlk508037582"/>
      <w:r>
        <w:rPr>
          <w:rFonts w:ascii="仿宋_GB2312" w:eastAsia="仿宋_GB2312" w:hint="eastAsia"/>
          <w:sz w:val="32"/>
          <w:szCs w:val="32"/>
        </w:rPr>
        <w:t>原《合肥经济技术开发区产业引导基金管理暂行办法（试行）》（合经区管〔2017〕66号）同步废止。</w:t>
      </w:r>
      <w:bookmarkEnd w:id="4"/>
    </w:p>
    <w:p w14:paraId="32BD7DFA" w14:textId="77777777" w:rsidR="004135C0" w:rsidRPr="00A473A7" w:rsidRDefault="004135C0"/>
    <w:sectPr w:rsidR="004135C0" w:rsidRPr="00A473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CFF06" w14:textId="77777777" w:rsidR="00B63F25" w:rsidRDefault="00B63F25" w:rsidP="002A7129">
      <w:r>
        <w:separator/>
      </w:r>
    </w:p>
  </w:endnote>
  <w:endnote w:type="continuationSeparator" w:id="0">
    <w:p w14:paraId="486C430E" w14:textId="77777777" w:rsidR="00B63F25" w:rsidRDefault="00B63F25" w:rsidP="002A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FFB62" w14:textId="77777777" w:rsidR="00B63F25" w:rsidRDefault="00B63F25" w:rsidP="002A7129">
      <w:r>
        <w:separator/>
      </w:r>
    </w:p>
  </w:footnote>
  <w:footnote w:type="continuationSeparator" w:id="0">
    <w:p w14:paraId="4C50D7F2" w14:textId="77777777" w:rsidR="00B63F25" w:rsidRDefault="00B63F25" w:rsidP="002A7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8ABF51"/>
    <w:multiLevelType w:val="singleLevel"/>
    <w:tmpl w:val="BDDAC35C"/>
    <w:lvl w:ilvl="0">
      <w:start w:val="4"/>
      <w:numFmt w:val="chineseCounting"/>
      <w:suff w:val="space"/>
      <w:lvlText w:val="第%1章"/>
      <w:lvlJc w:val="left"/>
      <w:rPr>
        <w:color w:val="000000" w:themeColor="text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5F"/>
    <w:rsid w:val="0000358A"/>
    <w:rsid w:val="00037646"/>
    <w:rsid w:val="000434A8"/>
    <w:rsid w:val="00047BD2"/>
    <w:rsid w:val="000718F6"/>
    <w:rsid w:val="0008552F"/>
    <w:rsid w:val="000D23CD"/>
    <w:rsid w:val="000D5742"/>
    <w:rsid w:val="000E6FD7"/>
    <w:rsid w:val="00125BB4"/>
    <w:rsid w:val="00141C84"/>
    <w:rsid w:val="00157300"/>
    <w:rsid w:val="00164FE2"/>
    <w:rsid w:val="00171B93"/>
    <w:rsid w:val="00207937"/>
    <w:rsid w:val="002279DF"/>
    <w:rsid w:val="00267F25"/>
    <w:rsid w:val="00287493"/>
    <w:rsid w:val="002A7129"/>
    <w:rsid w:val="00304781"/>
    <w:rsid w:val="00350F6B"/>
    <w:rsid w:val="00380A58"/>
    <w:rsid w:val="003B3B87"/>
    <w:rsid w:val="003B4258"/>
    <w:rsid w:val="004135C0"/>
    <w:rsid w:val="00413C06"/>
    <w:rsid w:val="004206DD"/>
    <w:rsid w:val="00447097"/>
    <w:rsid w:val="004C4981"/>
    <w:rsid w:val="004E021B"/>
    <w:rsid w:val="005173B4"/>
    <w:rsid w:val="00527060"/>
    <w:rsid w:val="00545066"/>
    <w:rsid w:val="005846CF"/>
    <w:rsid w:val="0059604E"/>
    <w:rsid w:val="005A57D9"/>
    <w:rsid w:val="005B1B53"/>
    <w:rsid w:val="005B1E7D"/>
    <w:rsid w:val="005C4BAC"/>
    <w:rsid w:val="005C616E"/>
    <w:rsid w:val="005E35D2"/>
    <w:rsid w:val="005F3F5B"/>
    <w:rsid w:val="0061737C"/>
    <w:rsid w:val="006443D9"/>
    <w:rsid w:val="00653EC2"/>
    <w:rsid w:val="006B2F6B"/>
    <w:rsid w:val="006D7D2F"/>
    <w:rsid w:val="0073237C"/>
    <w:rsid w:val="007867C3"/>
    <w:rsid w:val="0079325F"/>
    <w:rsid w:val="007E1258"/>
    <w:rsid w:val="008053DA"/>
    <w:rsid w:val="008903C2"/>
    <w:rsid w:val="00962279"/>
    <w:rsid w:val="0096705F"/>
    <w:rsid w:val="009D028B"/>
    <w:rsid w:val="00A436FF"/>
    <w:rsid w:val="00A451D2"/>
    <w:rsid w:val="00A4606B"/>
    <w:rsid w:val="00A473A7"/>
    <w:rsid w:val="00A52625"/>
    <w:rsid w:val="00AA2679"/>
    <w:rsid w:val="00AA7C88"/>
    <w:rsid w:val="00B14D20"/>
    <w:rsid w:val="00B50CA9"/>
    <w:rsid w:val="00B63F25"/>
    <w:rsid w:val="00BA5717"/>
    <w:rsid w:val="00BB16BC"/>
    <w:rsid w:val="00C014EE"/>
    <w:rsid w:val="00C612D2"/>
    <w:rsid w:val="00C6139F"/>
    <w:rsid w:val="00CB7BE8"/>
    <w:rsid w:val="00CE0B1B"/>
    <w:rsid w:val="00CE6319"/>
    <w:rsid w:val="00D34CB5"/>
    <w:rsid w:val="00D412D8"/>
    <w:rsid w:val="00D45E1A"/>
    <w:rsid w:val="00D7665E"/>
    <w:rsid w:val="00D87083"/>
    <w:rsid w:val="00DB4907"/>
    <w:rsid w:val="00E37111"/>
    <w:rsid w:val="00E464E2"/>
    <w:rsid w:val="00E50F83"/>
    <w:rsid w:val="00E67486"/>
    <w:rsid w:val="00E8410E"/>
    <w:rsid w:val="00F1292E"/>
    <w:rsid w:val="00F146E5"/>
    <w:rsid w:val="00F25752"/>
    <w:rsid w:val="00F866AE"/>
    <w:rsid w:val="00FA28E1"/>
    <w:rsid w:val="00FD32D8"/>
    <w:rsid w:val="00FD4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09661"/>
  <w15:docId w15:val="{6208D811-C68A-40A3-8959-DFBC487D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712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1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7129"/>
    <w:rPr>
      <w:sz w:val="18"/>
      <w:szCs w:val="18"/>
    </w:rPr>
  </w:style>
  <w:style w:type="paragraph" w:styleId="a5">
    <w:name w:val="footer"/>
    <w:basedOn w:val="a"/>
    <w:link w:val="a6"/>
    <w:uiPriority w:val="99"/>
    <w:unhideWhenUsed/>
    <w:rsid w:val="002A7129"/>
    <w:pPr>
      <w:tabs>
        <w:tab w:val="center" w:pos="4153"/>
        <w:tab w:val="right" w:pos="8306"/>
      </w:tabs>
      <w:snapToGrid w:val="0"/>
      <w:jc w:val="left"/>
    </w:pPr>
    <w:rPr>
      <w:sz w:val="18"/>
      <w:szCs w:val="18"/>
    </w:rPr>
  </w:style>
  <w:style w:type="character" w:customStyle="1" w:styleId="a6">
    <w:name w:val="页脚 字符"/>
    <w:basedOn w:val="a0"/>
    <w:link w:val="a5"/>
    <w:uiPriority w:val="99"/>
    <w:rsid w:val="002A7129"/>
    <w:rPr>
      <w:sz w:val="18"/>
      <w:szCs w:val="18"/>
    </w:rPr>
  </w:style>
  <w:style w:type="paragraph" w:styleId="a7">
    <w:name w:val="Balloon Text"/>
    <w:basedOn w:val="a"/>
    <w:link w:val="a8"/>
    <w:uiPriority w:val="99"/>
    <w:semiHidden/>
    <w:unhideWhenUsed/>
    <w:rsid w:val="00CE6319"/>
    <w:rPr>
      <w:sz w:val="18"/>
      <w:szCs w:val="18"/>
    </w:rPr>
  </w:style>
  <w:style w:type="character" w:customStyle="1" w:styleId="a8">
    <w:name w:val="批注框文本 字符"/>
    <w:basedOn w:val="a0"/>
    <w:link w:val="a7"/>
    <w:uiPriority w:val="99"/>
    <w:semiHidden/>
    <w:rsid w:val="00CE63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12</Pages>
  <Words>2442</Words>
  <Characters>2540</Characters>
  <Application>Microsoft Office Word</Application>
  <DocSecurity>0</DocSecurity>
  <Lines>317</Lines>
  <Paragraphs>249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韩磊</dc:creator>
  <cp:keywords/>
  <dc:description/>
  <cp:lastModifiedBy>韩磊</cp:lastModifiedBy>
  <cp:revision>46</cp:revision>
  <cp:lastPrinted>2018-04-02T08:19:00Z</cp:lastPrinted>
  <dcterms:created xsi:type="dcterms:W3CDTF">2018-03-02T10:03:00Z</dcterms:created>
  <dcterms:modified xsi:type="dcterms:W3CDTF">2018-04-20T10:07:00Z</dcterms:modified>
</cp:coreProperties>
</file>