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CDE47" w14:textId="77777777" w:rsidR="00CB2069" w:rsidRPr="00C06D11" w:rsidRDefault="00F9097B" w:rsidP="00BD5D6D">
      <w:pPr>
        <w:spacing w:line="600" w:lineRule="exact"/>
        <w:jc w:val="center"/>
        <w:rPr>
          <w:rFonts w:ascii="华文中宋" w:eastAsia="华文中宋" w:hAnsi="华文中宋" w:cs="黑体" w:hint="eastAsia"/>
          <w:sz w:val="44"/>
          <w:szCs w:val="44"/>
        </w:rPr>
      </w:pPr>
      <w:bookmarkStart w:id="0" w:name="_Toc1398_WPSOffice_Level1"/>
      <w:bookmarkStart w:id="1" w:name="_Toc480_WPSOffice_Level1"/>
      <w:bookmarkStart w:id="2" w:name="_Toc16072_WPSOffice_Level1"/>
      <w:r w:rsidRPr="00C06D11">
        <w:rPr>
          <w:rFonts w:ascii="华文中宋" w:eastAsia="华文中宋" w:hAnsi="华文中宋" w:cs="黑体" w:hint="eastAsia"/>
          <w:sz w:val="44"/>
          <w:szCs w:val="44"/>
        </w:rPr>
        <w:t>《</w:t>
      </w:r>
      <w:r w:rsidR="00A876D0" w:rsidRPr="00C06D11">
        <w:rPr>
          <w:rFonts w:ascii="华文中宋" w:eastAsia="华文中宋" w:hAnsi="华文中宋" w:cs="黑体" w:hint="eastAsia"/>
          <w:sz w:val="44"/>
          <w:szCs w:val="44"/>
        </w:rPr>
        <w:t>绿色开发区</w:t>
      </w:r>
      <w:r w:rsidR="00050261" w:rsidRPr="00C06D11">
        <w:rPr>
          <w:rFonts w:ascii="华文中宋" w:eastAsia="华文中宋" w:hAnsi="华文中宋" w:cs="黑体" w:hint="eastAsia"/>
          <w:sz w:val="44"/>
          <w:szCs w:val="44"/>
        </w:rPr>
        <w:t>评价标准</w:t>
      </w:r>
      <w:r w:rsidR="00CB2069" w:rsidRPr="00C06D11">
        <w:rPr>
          <w:rFonts w:ascii="华文中宋" w:eastAsia="华文中宋" w:hAnsi="华文中宋" w:cs="黑体" w:hint="eastAsia"/>
          <w:sz w:val="44"/>
          <w:szCs w:val="44"/>
        </w:rPr>
        <w:t>》</w:t>
      </w:r>
      <w:bookmarkStart w:id="3" w:name="_Toc1826_WPSOffice_Level1"/>
      <w:bookmarkStart w:id="4" w:name="_Toc6845_WPSOffice_Level1"/>
      <w:bookmarkEnd w:id="0"/>
      <w:bookmarkEnd w:id="1"/>
      <w:bookmarkEnd w:id="2"/>
      <w:r w:rsidR="00CB2069" w:rsidRPr="00C06D11">
        <w:rPr>
          <w:rFonts w:ascii="华文中宋" w:eastAsia="华文中宋" w:hAnsi="华文中宋" w:cs="黑体" w:hint="eastAsia"/>
          <w:sz w:val="44"/>
          <w:szCs w:val="44"/>
        </w:rPr>
        <w:t>编制说明</w:t>
      </w:r>
      <w:bookmarkEnd w:id="3"/>
      <w:bookmarkEnd w:id="4"/>
    </w:p>
    <w:p w14:paraId="5F580463" w14:textId="77777777" w:rsidR="00CB2069" w:rsidRDefault="00CB2069">
      <w:pPr>
        <w:spacing w:line="360" w:lineRule="auto"/>
        <w:jc w:val="center"/>
        <w:rPr>
          <w:rFonts w:ascii="黑体" w:eastAsia="黑体"/>
          <w:b/>
          <w:bCs/>
          <w:color w:val="000000"/>
          <w:sz w:val="30"/>
        </w:rPr>
      </w:pPr>
    </w:p>
    <w:p w14:paraId="4EAD2574" w14:textId="77777777" w:rsidR="00CB2069" w:rsidRPr="00C06D11" w:rsidRDefault="00CB2069">
      <w:pPr>
        <w:spacing w:line="360" w:lineRule="auto"/>
        <w:ind w:firstLineChars="198" w:firstLine="634"/>
        <w:outlineLvl w:val="0"/>
        <w:rPr>
          <w:rFonts w:ascii="黑体" w:eastAsia="黑体" w:hAnsi="黑体" w:cs="黑体" w:hint="eastAsia"/>
          <w:color w:val="000000"/>
          <w:sz w:val="32"/>
          <w:szCs w:val="32"/>
        </w:rPr>
      </w:pPr>
      <w:bookmarkStart w:id="5" w:name="_Toc10680_WPSOffice_Level1"/>
      <w:r w:rsidRPr="00C06D11">
        <w:rPr>
          <w:rFonts w:ascii="黑体" w:eastAsia="黑体" w:hAnsi="黑体" w:cs="黑体" w:hint="eastAsia"/>
          <w:color w:val="000000"/>
          <w:sz w:val="32"/>
          <w:szCs w:val="32"/>
        </w:rPr>
        <w:t>一、目的和意义</w:t>
      </w:r>
      <w:bookmarkEnd w:id="5"/>
    </w:p>
    <w:p w14:paraId="6382A4A9" w14:textId="77777777" w:rsidR="001C1E40" w:rsidRPr="00C06D11" w:rsidRDefault="001C1E40" w:rsidP="001C1E40">
      <w:pPr>
        <w:spacing w:line="360" w:lineRule="auto"/>
        <w:ind w:firstLineChars="200" w:firstLine="640"/>
        <w:jc w:val="left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当今中国，工业绿色发展不断提速。近十年</w:t>
      </w:r>
      <w:r w:rsidR="00C97892" w:rsidRPr="00C06D11">
        <w:rPr>
          <w:rFonts w:ascii="仿宋" w:eastAsia="仿宋" w:hAnsi="仿宋" w:hint="eastAsia"/>
          <w:color w:val="000000"/>
          <w:sz w:val="32"/>
          <w:szCs w:val="32"/>
        </w:rPr>
        <w:t>来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，规模以上工业单位增加值能耗累计下降超过36%，我国目前已经在国家层面创建了绿色工业园区267家</w:t>
      </w:r>
      <w:r w:rsidR="00F8449D" w:rsidRPr="00C06D11">
        <w:rPr>
          <w:rFonts w:ascii="仿宋" w:eastAsia="仿宋" w:hAnsi="仿宋" w:hint="eastAsia"/>
          <w:color w:val="000000"/>
          <w:sz w:val="32"/>
          <w:szCs w:val="32"/>
        </w:rPr>
        <w:t>（截至2023年7月）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14:paraId="25F3D936" w14:textId="77777777" w:rsidR="00157EAC" w:rsidRPr="00C06D11" w:rsidRDefault="00157EAC" w:rsidP="00500FB8">
      <w:pPr>
        <w:spacing w:line="360" w:lineRule="auto"/>
        <w:ind w:firstLineChars="200" w:firstLine="643"/>
        <w:jc w:val="left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b/>
          <w:color w:val="000000"/>
          <w:sz w:val="32"/>
          <w:szCs w:val="32"/>
        </w:rPr>
        <w:t>《工业领域碳达峰实施方案》强调，打造绿色低碳工业园区。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通过“横向耦合、纵向延伸”，构建园区内绿色低碳产业链条，促进园区内企业采用能源资源综合利用生产模式，推进工业余压余热、废水废气废液资源化利用，实施园区“绿电倍增”工程。到2025 年，通过已创建的绿色工业园区实践形成一批可复制、可推广的碳达峰优秀典型经验和案例。</w:t>
      </w:r>
    </w:p>
    <w:p w14:paraId="16E0C316" w14:textId="77777777" w:rsidR="00157EAC" w:rsidRPr="00C06D11" w:rsidRDefault="00157EAC" w:rsidP="00500FB8">
      <w:pPr>
        <w:spacing w:line="360" w:lineRule="auto"/>
        <w:ind w:firstLineChars="200" w:firstLine="643"/>
        <w:jc w:val="left"/>
        <w:rPr>
          <w:rFonts w:ascii="仿宋" w:eastAsia="仿宋" w:hAnsi="仿宋" w:hint="eastAsia"/>
          <w:b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b/>
          <w:color w:val="000000"/>
          <w:sz w:val="32"/>
          <w:szCs w:val="32"/>
        </w:rPr>
        <w:t>《“十四五”循环经济发展规划》指出，推进园区循环化发展。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推动企业循环式生产、产业循环式组合，促进废物综合利用、能量梯级利用、水资源循环使用，推进工业余压余热、废水废气废液的资源化利用，实现绿色低碳循环发展，积极推广集中供气供热。鼓励园区推进绿色工厂建设，实现厂房集约化、原料无害化、生产洁净化、废物资源化、能源低碳化、建材绿色化。制定园区循环化发展指南，推广钢铁、有色、冶金、石化、装备制造、轻工业等重点行业循环经济发展典型模式。</w:t>
      </w:r>
      <w:r w:rsidRPr="00C06D11">
        <w:rPr>
          <w:rFonts w:ascii="仿宋" w:eastAsia="仿宋" w:hAnsi="仿宋" w:hint="eastAsia"/>
          <w:b/>
          <w:color w:val="000000"/>
          <w:sz w:val="32"/>
          <w:szCs w:val="32"/>
        </w:rPr>
        <w:t>鼓励创建国家生态工业示范园区。</w:t>
      </w:r>
    </w:p>
    <w:p w14:paraId="47A8EDFF" w14:textId="77777777" w:rsidR="001C1E40" w:rsidRPr="00C06D11" w:rsidRDefault="001C1E40" w:rsidP="00500FB8">
      <w:pPr>
        <w:spacing w:line="360" w:lineRule="auto"/>
        <w:ind w:firstLineChars="200" w:firstLine="643"/>
        <w:jc w:val="left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b/>
          <w:color w:val="000000"/>
          <w:sz w:val="32"/>
          <w:szCs w:val="32"/>
        </w:rPr>
        <w:lastRenderedPageBreak/>
        <w:t>《十四五工业绿色发展规划》</w:t>
      </w:r>
      <w:r w:rsidR="00157EAC" w:rsidRPr="00C06D11">
        <w:rPr>
          <w:rFonts w:ascii="仿宋" w:eastAsia="仿宋" w:hAnsi="仿宋" w:hint="eastAsia"/>
          <w:color w:val="000000"/>
          <w:sz w:val="32"/>
          <w:szCs w:val="32"/>
        </w:rPr>
        <w:t>着重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强调，健全绿色低碳标准体系。立足产业结构调整、绿色低碳技术发展需求，</w:t>
      </w:r>
      <w:r w:rsidRPr="00C06D11">
        <w:rPr>
          <w:rFonts w:ascii="仿宋" w:eastAsia="仿宋" w:hAnsi="仿宋" w:hint="eastAsia"/>
          <w:b/>
          <w:color w:val="000000"/>
          <w:sz w:val="32"/>
          <w:szCs w:val="32"/>
        </w:rPr>
        <w:t>完善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绿色产品、绿色工厂、</w:t>
      </w:r>
      <w:r w:rsidRPr="00C06D11">
        <w:rPr>
          <w:rFonts w:ascii="仿宋" w:eastAsia="仿宋" w:hAnsi="仿宋" w:hint="eastAsia"/>
          <w:b/>
          <w:color w:val="000000"/>
          <w:sz w:val="32"/>
          <w:szCs w:val="32"/>
        </w:rPr>
        <w:t>绿色工业园区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和绿色供应链</w:t>
      </w:r>
      <w:r w:rsidRPr="00C06D11">
        <w:rPr>
          <w:rFonts w:ascii="仿宋" w:eastAsia="仿宋" w:hAnsi="仿宋" w:hint="eastAsia"/>
          <w:b/>
          <w:color w:val="000000"/>
          <w:sz w:val="32"/>
          <w:szCs w:val="32"/>
        </w:rPr>
        <w:t>评价标准体系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，制修订一批低碳、节能、节水、资源综合利用等重点领域标准及关键工艺技术装备标准。</w:t>
      </w:r>
      <w:r w:rsidRPr="00C06D11">
        <w:rPr>
          <w:rFonts w:ascii="仿宋" w:eastAsia="仿宋" w:hAnsi="仿宋" w:hint="eastAsia"/>
          <w:b/>
          <w:color w:val="000000"/>
          <w:sz w:val="32"/>
          <w:szCs w:val="32"/>
        </w:rPr>
        <w:t>鼓励制定高于现行标准的地方标准、团体标准和企业标准。强化先进适用标准的贯彻落实，扩大标准有效供给。推动建立绿色低碳标准采信机制，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推进重点标准技术水平评价和实施效果评估，畅通迭代优化渠道。推进绿色设计、产品碳足迹、绿色制造、新能源、新能源汽车等重点领域标准国际化工作。</w:t>
      </w:r>
    </w:p>
    <w:p w14:paraId="36BF22A8" w14:textId="77777777" w:rsidR="008623EC" w:rsidRPr="00C06D11" w:rsidRDefault="00C97892" w:rsidP="001C1E40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目前，已发布的相关标准多为地方标准，或侧重零碳</w:t>
      </w:r>
      <w:r w:rsidR="0049477E" w:rsidRPr="00C06D11">
        <w:rPr>
          <w:rFonts w:ascii="仿宋" w:eastAsia="仿宋" w:hAnsi="仿宋" w:hint="eastAsia"/>
          <w:color w:val="000000"/>
          <w:sz w:val="32"/>
          <w:szCs w:val="32"/>
        </w:rPr>
        <w:t>某一领域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或工业园区某一方面。</w:t>
      </w:r>
      <w:r w:rsidR="008623EC" w:rsidRPr="00C06D11">
        <w:rPr>
          <w:rFonts w:ascii="仿宋" w:eastAsia="仿宋" w:hAnsi="仿宋" w:hint="eastAsia"/>
          <w:color w:val="000000"/>
          <w:sz w:val="32"/>
          <w:szCs w:val="32"/>
        </w:rPr>
        <w:t>因此，有必要从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开发区整体</w:t>
      </w:r>
      <w:r w:rsidR="005C3D1F" w:rsidRPr="00C06D11">
        <w:rPr>
          <w:rFonts w:ascii="仿宋" w:eastAsia="仿宋" w:hAnsi="仿宋" w:hint="eastAsia"/>
          <w:color w:val="000000"/>
          <w:sz w:val="32"/>
          <w:szCs w:val="32"/>
        </w:rPr>
        <w:t>角度出发，制定评价</w:t>
      </w:r>
      <w:r w:rsidR="008623EC" w:rsidRPr="00C06D11">
        <w:rPr>
          <w:rFonts w:ascii="仿宋" w:eastAsia="仿宋" w:hAnsi="仿宋" w:hint="eastAsia"/>
          <w:color w:val="000000"/>
          <w:sz w:val="32"/>
          <w:szCs w:val="32"/>
        </w:rPr>
        <w:t>标准，为相关金融机构开展</w:t>
      </w:r>
      <w:r w:rsidR="0049477E" w:rsidRPr="00C06D11">
        <w:rPr>
          <w:rFonts w:ascii="仿宋" w:eastAsia="仿宋" w:hAnsi="仿宋" w:hint="eastAsia"/>
          <w:color w:val="000000"/>
          <w:sz w:val="32"/>
          <w:szCs w:val="32"/>
        </w:rPr>
        <w:t>开发区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绿色低碳发展</w:t>
      </w:r>
      <w:r w:rsidR="005C3D1F" w:rsidRPr="00C06D11">
        <w:rPr>
          <w:rFonts w:ascii="仿宋" w:eastAsia="仿宋" w:hAnsi="仿宋" w:hint="eastAsia"/>
          <w:color w:val="000000"/>
          <w:sz w:val="32"/>
          <w:szCs w:val="32"/>
        </w:rPr>
        <w:t>金融支持</w:t>
      </w:r>
      <w:r w:rsidR="008623EC" w:rsidRPr="00C06D11">
        <w:rPr>
          <w:rFonts w:ascii="仿宋" w:eastAsia="仿宋" w:hAnsi="仿宋" w:hint="eastAsia"/>
          <w:color w:val="000000"/>
          <w:sz w:val="32"/>
          <w:szCs w:val="32"/>
        </w:rPr>
        <w:t>提供参考依据。</w:t>
      </w:r>
    </w:p>
    <w:p w14:paraId="5DA16AC2" w14:textId="77777777" w:rsidR="00CB2069" w:rsidRPr="00C06D11" w:rsidRDefault="00CB2069">
      <w:pPr>
        <w:spacing w:line="360" w:lineRule="auto"/>
        <w:ind w:firstLineChars="198" w:firstLine="634"/>
        <w:outlineLvl w:val="0"/>
        <w:rPr>
          <w:rFonts w:ascii="黑体" w:eastAsia="黑体" w:hAnsi="黑体" w:cs="黑体" w:hint="eastAsia"/>
          <w:color w:val="000000"/>
          <w:sz w:val="32"/>
          <w:szCs w:val="32"/>
        </w:rPr>
      </w:pPr>
      <w:bookmarkStart w:id="6" w:name="_Toc31633_WPSOffice_Level1"/>
      <w:r w:rsidRPr="00C06D11">
        <w:rPr>
          <w:rFonts w:ascii="黑体" w:eastAsia="黑体" w:hAnsi="黑体" w:cs="黑体" w:hint="eastAsia"/>
          <w:color w:val="000000"/>
          <w:sz w:val="32"/>
          <w:szCs w:val="32"/>
        </w:rPr>
        <w:t>二、工作简况</w:t>
      </w:r>
      <w:bookmarkEnd w:id="6"/>
    </w:p>
    <w:p w14:paraId="14898B9E" w14:textId="77777777" w:rsidR="00CB2069" w:rsidRPr="00C06D11" w:rsidRDefault="00C06D11">
      <w:pPr>
        <w:spacing w:line="360" w:lineRule="auto"/>
        <w:ind w:firstLineChars="198" w:firstLine="634"/>
        <w:outlineLvl w:val="1"/>
        <w:rPr>
          <w:rFonts w:ascii="仿宋" w:eastAsia="仿宋" w:hAnsi="仿宋" w:cs="黑体" w:hint="eastAsia"/>
          <w:color w:val="000000"/>
          <w:sz w:val="32"/>
          <w:szCs w:val="32"/>
        </w:rPr>
      </w:pPr>
      <w:bookmarkStart w:id="7" w:name="_Toc10021_WPSOffice_Level2"/>
      <w:r>
        <w:rPr>
          <w:rFonts w:ascii="仿宋" w:eastAsia="仿宋" w:hAnsi="仿宋" w:cs="黑体" w:hint="eastAsia"/>
          <w:color w:val="000000"/>
          <w:sz w:val="32"/>
          <w:szCs w:val="32"/>
        </w:rPr>
        <w:t>１.</w:t>
      </w:r>
      <w:r w:rsidR="00CB2069" w:rsidRPr="00C06D11">
        <w:rPr>
          <w:rFonts w:ascii="仿宋" w:eastAsia="仿宋" w:hAnsi="仿宋" w:cs="黑体" w:hint="eastAsia"/>
          <w:color w:val="000000"/>
          <w:sz w:val="32"/>
          <w:szCs w:val="32"/>
        </w:rPr>
        <w:t>任务来源</w:t>
      </w:r>
      <w:bookmarkEnd w:id="7"/>
      <w:r w:rsidR="00CB2069" w:rsidRPr="00C06D11">
        <w:rPr>
          <w:rFonts w:ascii="仿宋" w:eastAsia="仿宋" w:hAnsi="仿宋" w:cs="黑体" w:hint="eastAsia"/>
          <w:color w:val="000000"/>
          <w:sz w:val="32"/>
          <w:szCs w:val="32"/>
        </w:rPr>
        <w:t>和起草单位</w:t>
      </w:r>
    </w:p>
    <w:p w14:paraId="7BBDD887" w14:textId="77777777" w:rsidR="00CB2069" w:rsidRPr="00C06D11" w:rsidRDefault="00CB2069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本标准</w:t>
      </w:r>
      <w:r w:rsidR="00EC5016" w:rsidRPr="00C06D11">
        <w:rPr>
          <w:rFonts w:ascii="仿宋" w:eastAsia="仿宋" w:hAnsi="仿宋" w:hint="eastAsia"/>
          <w:color w:val="000000"/>
          <w:sz w:val="32"/>
          <w:szCs w:val="32"/>
        </w:rPr>
        <w:t>通过中国开发区协会标准化工作管理委员会立项审查后，于2023年6月25日经中国开发区协会</w:t>
      </w:r>
      <w:r w:rsidR="005C3D1F" w:rsidRPr="00C06D11">
        <w:rPr>
          <w:rFonts w:ascii="仿宋" w:eastAsia="仿宋" w:hAnsi="仿宋" w:hint="eastAsia"/>
          <w:color w:val="000000"/>
          <w:sz w:val="32"/>
          <w:szCs w:val="32"/>
        </w:rPr>
        <w:t>批准</w:t>
      </w:r>
      <w:r w:rsidR="00EC5016" w:rsidRPr="00C06D11">
        <w:rPr>
          <w:rFonts w:ascii="仿宋" w:eastAsia="仿宋" w:hAnsi="仿宋" w:hint="eastAsia"/>
          <w:color w:val="000000"/>
          <w:sz w:val="32"/>
          <w:szCs w:val="32"/>
        </w:rPr>
        <w:t>立项。</w:t>
      </w:r>
    </w:p>
    <w:p w14:paraId="3D28B2B9" w14:textId="77777777" w:rsidR="00CB2069" w:rsidRPr="00C06D11" w:rsidRDefault="005C3D1F" w:rsidP="009E6206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C06D11">
        <w:rPr>
          <w:rFonts w:ascii="仿宋" w:eastAsia="仿宋" w:hAnsi="仿宋"/>
          <w:color w:val="000000"/>
          <w:sz w:val="32"/>
          <w:szCs w:val="32"/>
        </w:rPr>
        <w:t>本标准由</w:t>
      </w:r>
      <w:r w:rsidR="00DC5FEA" w:rsidRPr="00C06D11">
        <w:rPr>
          <w:rFonts w:ascii="仿宋" w:eastAsia="仿宋" w:hAnsi="仿宋" w:hint="eastAsia"/>
          <w:color w:val="000000"/>
          <w:sz w:val="32"/>
          <w:szCs w:val="32"/>
        </w:rPr>
        <w:t>中国开发区协会绿色发展专业委员会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为主编单位</w:t>
      </w:r>
      <w:r w:rsidR="00CB2069" w:rsidRPr="00C06D11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="00500FB8" w:rsidRPr="00C06D11">
        <w:rPr>
          <w:rFonts w:ascii="仿宋" w:eastAsia="仿宋" w:hAnsi="仿宋" w:hint="eastAsia"/>
          <w:color w:val="000000"/>
          <w:sz w:val="32"/>
          <w:szCs w:val="32"/>
        </w:rPr>
        <w:t>石家庄经济技术开发区管理委员会</w:t>
      </w:r>
      <w:r w:rsidR="00550BE4" w:rsidRPr="00C06D11">
        <w:rPr>
          <w:rFonts w:ascii="仿宋" w:eastAsia="仿宋" w:hAnsi="仿宋" w:hint="eastAsia"/>
          <w:color w:val="000000"/>
          <w:sz w:val="32"/>
          <w:szCs w:val="32"/>
        </w:rPr>
        <w:t>、苏州工业园区管理委员会</w:t>
      </w:r>
      <w:r w:rsidR="00500FB8" w:rsidRPr="00C06D11">
        <w:rPr>
          <w:rFonts w:ascii="仿宋" w:eastAsia="仿宋" w:hAnsi="仿宋" w:hint="eastAsia"/>
          <w:color w:val="000000"/>
          <w:sz w:val="32"/>
          <w:szCs w:val="32"/>
        </w:rPr>
        <w:t>和</w:t>
      </w:r>
      <w:r w:rsidR="004508F1" w:rsidRPr="00C06D11">
        <w:rPr>
          <w:rFonts w:ascii="仿宋" w:eastAsia="仿宋" w:hAnsi="仿宋" w:hint="eastAsia"/>
          <w:color w:val="000000"/>
          <w:sz w:val="32"/>
          <w:szCs w:val="32"/>
        </w:rPr>
        <w:t>北京万家绿色信用评级有限公司等</w:t>
      </w:r>
      <w:r w:rsidR="00C26A5F" w:rsidRPr="00C06D11">
        <w:rPr>
          <w:rFonts w:ascii="仿宋" w:eastAsia="仿宋" w:hAnsi="仿宋" w:hint="eastAsia"/>
          <w:color w:val="000000"/>
          <w:sz w:val="32"/>
          <w:szCs w:val="32"/>
        </w:rPr>
        <w:t>参与起草，</w:t>
      </w:r>
      <w:r w:rsidR="00CB2069" w:rsidRPr="00C06D11">
        <w:rPr>
          <w:rFonts w:ascii="仿宋" w:eastAsia="仿宋" w:hAnsi="仿宋" w:hint="eastAsia"/>
          <w:color w:val="000000"/>
          <w:sz w:val="32"/>
          <w:szCs w:val="32"/>
        </w:rPr>
        <w:t>负责标准总体设计、内容研究起草、修改完善等。</w:t>
      </w:r>
    </w:p>
    <w:p w14:paraId="5D5D2A76" w14:textId="77777777" w:rsidR="00CB2069" w:rsidRPr="00C06D11" w:rsidRDefault="00C06D11">
      <w:pPr>
        <w:spacing w:line="360" w:lineRule="auto"/>
        <w:ind w:firstLineChars="198" w:firstLine="634"/>
        <w:outlineLvl w:val="1"/>
        <w:rPr>
          <w:rFonts w:ascii="仿宋" w:eastAsia="仿宋" w:hAnsi="仿宋" w:cs="黑体" w:hint="eastAsia"/>
          <w:color w:val="000000"/>
          <w:sz w:val="32"/>
          <w:szCs w:val="32"/>
        </w:rPr>
      </w:pPr>
      <w:bookmarkStart w:id="8" w:name="_Toc11258_WPSOffice_Level2"/>
      <w:r>
        <w:rPr>
          <w:rFonts w:ascii="仿宋" w:eastAsia="仿宋" w:hAnsi="仿宋" w:cs="黑体" w:hint="eastAsia"/>
          <w:color w:val="000000"/>
          <w:sz w:val="32"/>
          <w:szCs w:val="32"/>
        </w:rPr>
        <w:lastRenderedPageBreak/>
        <w:t>２.</w:t>
      </w:r>
      <w:r w:rsidR="00CB2069" w:rsidRPr="00C06D11">
        <w:rPr>
          <w:rFonts w:ascii="仿宋" w:eastAsia="仿宋" w:hAnsi="仿宋" w:cs="黑体" w:hint="eastAsia"/>
          <w:color w:val="000000"/>
          <w:sz w:val="32"/>
          <w:szCs w:val="32"/>
        </w:rPr>
        <w:t>主要工作过程</w:t>
      </w:r>
      <w:bookmarkEnd w:id="8"/>
    </w:p>
    <w:p w14:paraId="5A32E71A" w14:textId="77777777" w:rsidR="00DC5FEA" w:rsidRPr="00C06D11" w:rsidRDefault="00CB2069" w:rsidP="00DC5FEA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本标准在研究起草过程中起草组内部多次研讨，</w:t>
      </w:r>
      <w:r w:rsidR="0049477E" w:rsidRPr="00C06D11">
        <w:rPr>
          <w:rFonts w:ascii="仿宋" w:eastAsia="仿宋" w:hAnsi="仿宋" w:hint="eastAsia"/>
          <w:color w:val="000000"/>
          <w:sz w:val="32"/>
          <w:szCs w:val="32"/>
        </w:rPr>
        <w:t>并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对标准内容进行多次修改和完善，形成了目前的</w:t>
      </w:r>
      <w:r w:rsidR="004C1E22" w:rsidRPr="00C06D11">
        <w:rPr>
          <w:rFonts w:ascii="仿宋" w:eastAsia="仿宋" w:hAnsi="仿宋" w:hint="eastAsia"/>
          <w:color w:val="000000"/>
          <w:sz w:val="32"/>
          <w:szCs w:val="32"/>
        </w:rPr>
        <w:t>征求意见</w:t>
      </w:r>
      <w:r w:rsidR="005C3D1F" w:rsidRPr="00C06D11">
        <w:rPr>
          <w:rFonts w:ascii="仿宋" w:eastAsia="仿宋" w:hAnsi="仿宋" w:hint="eastAsia"/>
          <w:color w:val="000000"/>
          <w:sz w:val="32"/>
          <w:szCs w:val="32"/>
        </w:rPr>
        <w:t>稿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。</w:t>
      </w:r>
      <w:bookmarkStart w:id="9" w:name="_Toc18033_WPSOffice_Level1"/>
    </w:p>
    <w:p w14:paraId="6DD8C269" w14:textId="77777777" w:rsidR="00CB2069" w:rsidRPr="00C06D11" w:rsidRDefault="00CB2069" w:rsidP="00DC5FEA">
      <w:pPr>
        <w:spacing w:line="360" w:lineRule="auto"/>
        <w:ind w:firstLineChars="200" w:firstLine="640"/>
        <w:rPr>
          <w:rFonts w:ascii="黑体" w:eastAsia="黑体" w:hAnsi="黑体" w:cs="黑体" w:hint="eastAsia"/>
          <w:color w:val="000000"/>
          <w:sz w:val="32"/>
          <w:szCs w:val="32"/>
        </w:rPr>
      </w:pPr>
      <w:r w:rsidRPr="00C06D11">
        <w:rPr>
          <w:rFonts w:ascii="黑体" w:eastAsia="黑体" w:hAnsi="黑体" w:cs="黑体" w:hint="eastAsia"/>
          <w:color w:val="000000"/>
          <w:sz w:val="32"/>
          <w:szCs w:val="32"/>
        </w:rPr>
        <w:t>三、标准编制依据、主要技术内容</w:t>
      </w:r>
      <w:bookmarkEnd w:id="9"/>
    </w:p>
    <w:p w14:paraId="2FA71A8D" w14:textId="77777777" w:rsidR="00CB2069" w:rsidRPr="00C06D11" w:rsidRDefault="00C06D11">
      <w:pPr>
        <w:spacing w:line="360" w:lineRule="auto"/>
        <w:ind w:firstLineChars="198" w:firstLine="634"/>
        <w:outlineLvl w:val="1"/>
        <w:rPr>
          <w:rFonts w:ascii="仿宋" w:eastAsia="仿宋" w:hAnsi="仿宋" w:cs="黑体" w:hint="eastAsia"/>
          <w:color w:val="000000"/>
          <w:sz w:val="32"/>
          <w:szCs w:val="32"/>
        </w:rPr>
      </w:pPr>
      <w:bookmarkStart w:id="10" w:name="_Toc5594_WPSOffice_Level2"/>
      <w:r>
        <w:rPr>
          <w:rFonts w:ascii="仿宋" w:eastAsia="仿宋" w:hAnsi="仿宋" w:cs="黑体" w:hint="eastAsia"/>
          <w:color w:val="000000"/>
          <w:sz w:val="32"/>
          <w:szCs w:val="32"/>
        </w:rPr>
        <w:t>１.</w:t>
      </w:r>
      <w:r w:rsidR="00CB2069" w:rsidRPr="00C06D11">
        <w:rPr>
          <w:rFonts w:ascii="仿宋" w:eastAsia="仿宋" w:hAnsi="仿宋" w:cs="黑体" w:hint="eastAsia"/>
          <w:color w:val="000000"/>
          <w:sz w:val="32"/>
          <w:szCs w:val="32"/>
        </w:rPr>
        <w:t>标准编制的依据</w:t>
      </w:r>
      <w:bookmarkEnd w:id="10"/>
    </w:p>
    <w:p w14:paraId="38B255FC" w14:textId="77777777" w:rsidR="00CB2069" w:rsidRPr="00C06D11" w:rsidRDefault="00CB2069" w:rsidP="000100CA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本标准研制过程中参考的相关标准主要包括：</w:t>
      </w:r>
    </w:p>
    <w:p w14:paraId="2C997851" w14:textId="77777777" w:rsidR="00C06D11" w:rsidRPr="00C06D11" w:rsidRDefault="00C06D11" w:rsidP="00DC5FEA">
      <w:pPr>
        <w:spacing w:line="360" w:lineRule="auto"/>
        <w:ind w:firstLineChars="198" w:firstLine="634"/>
        <w:outlineLvl w:val="1"/>
        <w:rPr>
          <w:rFonts w:ascii="仿宋" w:eastAsia="仿宋" w:hAnsi="仿宋" w:hint="eastAsia"/>
          <w:color w:val="000000"/>
          <w:sz w:val="32"/>
          <w:szCs w:val="32"/>
        </w:rPr>
      </w:pPr>
      <w:bookmarkStart w:id="11" w:name="_Toc4192_WPSOffice_Level2"/>
      <w:r w:rsidRPr="00C06D11">
        <w:rPr>
          <w:rFonts w:ascii="仿宋" w:eastAsia="仿宋" w:hAnsi="仿宋" w:hint="eastAsia"/>
          <w:color w:val="000000"/>
          <w:sz w:val="32"/>
          <w:szCs w:val="32"/>
        </w:rPr>
        <w:t>HJ  131  《规划环境影响评价技术导则-产业园区》</w:t>
      </w:r>
    </w:p>
    <w:p w14:paraId="16A9981D" w14:textId="77777777" w:rsidR="00C06D11" w:rsidRPr="00C06D11" w:rsidRDefault="00C06D11" w:rsidP="00DC5FEA">
      <w:pPr>
        <w:spacing w:line="360" w:lineRule="auto"/>
        <w:ind w:firstLineChars="198" w:firstLine="634"/>
        <w:outlineLvl w:val="1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HJ  274  《国家生态工业示范园区标准》</w:t>
      </w:r>
    </w:p>
    <w:p w14:paraId="033D5E77" w14:textId="77777777" w:rsidR="00C06D11" w:rsidRPr="00C06D11" w:rsidRDefault="00C06D11" w:rsidP="00DC5FEA">
      <w:pPr>
        <w:spacing w:line="360" w:lineRule="auto"/>
        <w:ind w:firstLineChars="198" w:firstLine="634"/>
        <w:outlineLvl w:val="1"/>
        <w:rPr>
          <w:rFonts w:ascii="仿宋" w:eastAsia="仿宋" w:hAnsi="仿宋" w:cs="黑体" w:hint="eastAsia"/>
          <w:color w:val="000000"/>
          <w:sz w:val="32"/>
          <w:szCs w:val="32"/>
        </w:rPr>
      </w:pPr>
      <w:bookmarkStart w:id="12" w:name="_Toc22266_WPSOffice_Level2"/>
      <w:bookmarkEnd w:id="11"/>
      <w:r>
        <w:rPr>
          <w:rFonts w:ascii="仿宋" w:eastAsia="仿宋" w:hAnsi="仿宋" w:cs="黑体" w:hint="eastAsia"/>
          <w:color w:val="000000"/>
          <w:sz w:val="32"/>
          <w:szCs w:val="32"/>
        </w:rPr>
        <w:t>２.</w:t>
      </w:r>
      <w:r w:rsidRPr="00C06D11">
        <w:rPr>
          <w:rFonts w:ascii="仿宋" w:eastAsia="仿宋" w:hAnsi="仿宋" w:cs="黑体" w:hint="eastAsia"/>
          <w:color w:val="000000"/>
          <w:sz w:val="32"/>
          <w:szCs w:val="32"/>
        </w:rPr>
        <w:t>与标准相关的已有国家标准、行业标准情况：</w:t>
      </w:r>
    </w:p>
    <w:p w14:paraId="645DAB1C" w14:textId="77777777" w:rsidR="00C06D11" w:rsidRPr="00C06D11" w:rsidRDefault="00C06D11" w:rsidP="003619E7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目前，有关产业/工业园区评价的国家标准主要有《规划环境影响评价技术导则-产业园区》（</w:t>
      </w:r>
      <w:r w:rsidRPr="00C06D11">
        <w:rPr>
          <w:rFonts w:ascii="仿宋" w:eastAsia="仿宋" w:hAnsi="仿宋"/>
          <w:color w:val="000000"/>
          <w:sz w:val="32"/>
          <w:szCs w:val="32"/>
        </w:rPr>
        <w:t>HJ  131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）、《国家生态工业示范园区标准》（</w:t>
      </w:r>
      <w:r w:rsidRPr="00C06D11">
        <w:rPr>
          <w:rFonts w:ascii="仿宋" w:eastAsia="仿宋" w:hAnsi="仿宋"/>
          <w:color w:val="000000"/>
          <w:sz w:val="32"/>
          <w:szCs w:val="32"/>
        </w:rPr>
        <w:t>HJ  274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）等。</w:t>
      </w:r>
    </w:p>
    <w:p w14:paraId="787A2DA2" w14:textId="77777777" w:rsidR="00C06D11" w:rsidRPr="00C06D11" w:rsidRDefault="00C06D11" w:rsidP="003619E7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上述国家标准，《规划环境影响评价技术导则-产业园区》（HJ  131）评价的重点主要是规划分析、现状调查与评价、环境影响识别与评价指标体系构建、环境影响预测与评价、规划方案综合论证和优化调整建议、不良环境影响减缓对策措施与协同降碳建议等方面；而《国家生态工业示范园区标准》（HJ  274）则是从经济发展、产业共生、资源节约、环境保护、信息公开等方面进行综合评价。</w:t>
      </w:r>
    </w:p>
    <w:p w14:paraId="0235963E" w14:textId="77777777" w:rsidR="00C06D11" w:rsidRPr="00C06D11" w:rsidRDefault="00C06D11" w:rsidP="00975FDB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总体而言，园区系列国家标准与本文件有如下区别：（1）在上述标准中，更注重园区的环境影响园区生态性能；而没有明确绿色低碳如何评价，或者绿色性能只是其中的一个指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lastRenderedPageBreak/>
        <w:t>标，例如《《国家生态工业示范园区标准》（HJ  274）中的4.1。</w:t>
      </w:r>
    </w:p>
    <w:p w14:paraId="5CD17BB3" w14:textId="77777777" w:rsidR="00C06D11" w:rsidRPr="00C06D11" w:rsidRDefault="00C06D11" w:rsidP="00975FDB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内蒙古自治区地方标准《零碳产业园区建设规范》（DB15/T 2948—2023）给出了以零碳为最终目标的产业园区的建设原则、园区主要系统构成、建设中的重点工作、运维管理等内容。重点突出了零碳能源系统、零碳交通物流系统、零碳建筑系统、零碳基础设施系统、零碳生产系统、零碳生态系统等建设中的重点工作，以及组织管理、智慧化管理、项目准入与退出等运维管理。</w:t>
      </w:r>
    </w:p>
    <w:p w14:paraId="6B835E30" w14:textId="77777777" w:rsidR="00C06D11" w:rsidRPr="00C06D11" w:rsidRDefault="00C06D11" w:rsidP="003619E7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上海市地方标准《绿色工业园区评价导则》（DB31/T946-2021）规定了绿色工业园区的基本要求、评价指标、评价方法和指标计算方法，适用于上海市工业增加值占50%以上的工业园区的绿色评价。其一级指标主要包括能源利用绿色化（EG）、资源利用绿色化（RG）、基础设施绿色化（IG）、产业绿色化（CG）、生态环境绿色化（HG）、运行管理绿色化（MG）、园区管理与特色园区建设等。</w:t>
      </w:r>
    </w:p>
    <w:p w14:paraId="29C15851" w14:textId="77777777" w:rsidR="00C06D11" w:rsidRPr="00C06D11" w:rsidRDefault="00C06D11" w:rsidP="004C1E22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《浙江省绿色低碳工业园区建设评价导则（2022版）》评价指标包括能源利用绿色化、资源利用绿色化、基础设施绿色化、产业技术绿色化、生态环境绿色化、运行管理绿色化和加分项。还规定了评价方法、评价过程、评价结论、评价有效期和评价报告编制要求。</w:t>
      </w:r>
    </w:p>
    <w:p w14:paraId="7965DF15" w14:textId="77777777" w:rsidR="00C06D11" w:rsidRPr="00C06D11" w:rsidRDefault="00C06D11" w:rsidP="003619E7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浙江省湖州市地方标准《市级绿色园区评价与管理规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lastRenderedPageBreak/>
        <w:t>范》（DB 3305/T 73—2018）规定了市级绿色园区建设评价的相关术语和定义、评价指标要求及评价方法、评价程序及管理。适用于市级绿色园区的评价与管理工作。</w:t>
      </w:r>
    </w:p>
    <w:p w14:paraId="542C29A8" w14:textId="77777777" w:rsidR="00CB2069" w:rsidRPr="00C06D11" w:rsidRDefault="00C06D11" w:rsidP="003619E7">
      <w:pPr>
        <w:spacing w:line="360" w:lineRule="auto"/>
        <w:ind w:firstLineChars="198" w:firstLine="634"/>
        <w:outlineLvl w:val="1"/>
        <w:rPr>
          <w:rFonts w:ascii="仿宋" w:eastAsia="仿宋" w:hAnsi="仿宋" w:cs="黑体" w:hint="eastAsia"/>
          <w:color w:val="000000"/>
          <w:sz w:val="32"/>
          <w:szCs w:val="32"/>
        </w:rPr>
      </w:pPr>
      <w:r>
        <w:rPr>
          <w:rFonts w:ascii="仿宋" w:eastAsia="仿宋" w:hAnsi="仿宋" w:cs="黑体" w:hint="eastAsia"/>
          <w:color w:val="000000"/>
          <w:sz w:val="32"/>
          <w:szCs w:val="32"/>
        </w:rPr>
        <w:t>３.</w:t>
      </w:r>
      <w:r w:rsidRPr="00C06D11">
        <w:rPr>
          <w:rFonts w:ascii="仿宋" w:eastAsia="仿宋" w:hAnsi="仿宋" w:cs="黑体" w:hint="eastAsia"/>
          <w:color w:val="000000"/>
          <w:sz w:val="32"/>
          <w:szCs w:val="32"/>
        </w:rPr>
        <w:t>主要技术内容</w:t>
      </w:r>
      <w:bookmarkEnd w:id="12"/>
    </w:p>
    <w:p w14:paraId="3D46E3C7" w14:textId="77777777" w:rsidR="00B61B10" w:rsidRPr="00C06D11" w:rsidRDefault="00B61B10" w:rsidP="00B61B10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（1）基本要求</w:t>
      </w:r>
    </w:p>
    <w:p w14:paraId="639D29A6" w14:textId="77777777" w:rsidR="00B61B10" w:rsidRPr="00C06D11" w:rsidRDefault="00716CF6" w:rsidP="00B61B10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明确</w:t>
      </w:r>
      <w:r w:rsidR="00B61B10" w:rsidRPr="00C06D11">
        <w:rPr>
          <w:rFonts w:ascii="仿宋" w:eastAsia="仿宋" w:hAnsi="仿宋" w:hint="eastAsia"/>
          <w:color w:val="000000"/>
          <w:sz w:val="32"/>
          <w:szCs w:val="32"/>
        </w:rPr>
        <w:t>绿色开发区评价应以建成的绿色开发区为评价对象。包括新建、改建、扩建的绿色开发区和实施绿色改造的既有开发区。其中，新建开发区须运营期满三年以上，实施绿色改造的既有开发区须改造完成后运营期满一年以上。</w:t>
      </w:r>
    </w:p>
    <w:p w14:paraId="1F53B5C6" w14:textId="77777777" w:rsidR="00B61B10" w:rsidRPr="00C06D11" w:rsidRDefault="00716CF6" w:rsidP="00B61B10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明确</w:t>
      </w:r>
      <w:r w:rsidR="00B61B10" w:rsidRPr="00C06D11">
        <w:rPr>
          <w:rFonts w:ascii="仿宋" w:eastAsia="仿宋" w:hAnsi="仿宋" w:hint="eastAsia"/>
          <w:color w:val="000000"/>
          <w:sz w:val="32"/>
          <w:szCs w:val="32"/>
        </w:rPr>
        <w:t>申请评价的绿色开发区应当依据本标准提供相应申请报告、文件和档案资料。</w:t>
      </w:r>
    </w:p>
    <w:p w14:paraId="6971390E" w14:textId="77777777" w:rsidR="00B61B10" w:rsidRPr="00C06D11" w:rsidRDefault="00716CF6" w:rsidP="00B61B10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明确了</w:t>
      </w:r>
      <w:r w:rsidR="00B61B10" w:rsidRPr="00C06D11">
        <w:rPr>
          <w:rFonts w:ascii="仿宋" w:eastAsia="仿宋" w:hAnsi="仿宋" w:hint="eastAsia"/>
          <w:color w:val="000000"/>
          <w:sz w:val="32"/>
          <w:szCs w:val="32"/>
        </w:rPr>
        <w:t>第三方评价机构应按本标准有关要求，对受评园区主体提交的报告、文件进行审查，对申请评价的绿色开发区，应进行实地调研审验，出具评价报告，确定受评园区主体绿色等级。</w:t>
      </w:r>
    </w:p>
    <w:p w14:paraId="37A6BCE8" w14:textId="77777777" w:rsidR="00B61B10" w:rsidRPr="00C06D11" w:rsidRDefault="00B61B10" w:rsidP="00B61B10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（2）评价方法</w:t>
      </w:r>
    </w:p>
    <w:p w14:paraId="12A9DC90" w14:textId="77777777" w:rsidR="00B61B10" w:rsidRPr="00C06D11" w:rsidRDefault="00B61B10" w:rsidP="00B61B10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绿色开发区评价得分分为两部分：第一部分为定量评价指标体系，占总评分的80%；第二部分为定性评价指标体系，占总评分的 20%。</w:t>
      </w:r>
    </w:p>
    <w:p w14:paraId="197F3058" w14:textId="77777777" w:rsidR="00B61B10" w:rsidRPr="00C06D11" w:rsidRDefault="00B61B10" w:rsidP="00B61B10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定量和定性指标细分为必选项和优选项。其中，必选项为必须考核评价的指标。优选项为扩展评价指标，受评开发区主体可根据项目具体条件自行选择。</w:t>
      </w:r>
    </w:p>
    <w:p w14:paraId="3F6E6401" w14:textId="77777777" w:rsidR="00B61B10" w:rsidRPr="00C06D11" w:rsidRDefault="00B61B10" w:rsidP="00B61B10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lastRenderedPageBreak/>
        <w:t>绿色开发区定量评价指标由环境、社会、治理等指标组成，环境指标包括气候适应绿色化、基础设施绿色化、能源管理绿色化、资源利用绿色化、生态环境绿色化等二级指标，社会指标包括经济发展绿色化、科技研发绿色化、应急管理绿色化等二级指标，治理指标包括环境治理绿色化、信息披露绿色化、生态活动绿色化。二级指标各下设若干三级指标。三级指标共计52项。</w:t>
      </w:r>
    </w:p>
    <w:p w14:paraId="08FF5182" w14:textId="77777777" w:rsidR="00B61B10" w:rsidRPr="00C06D11" w:rsidRDefault="00B61B10" w:rsidP="00B61B10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绿色开发区定性评价</w:t>
      </w:r>
      <w:r w:rsidR="002A6DDA" w:rsidRPr="00C06D11">
        <w:rPr>
          <w:rFonts w:ascii="仿宋" w:eastAsia="仿宋" w:hAnsi="仿宋" w:hint="eastAsia"/>
          <w:color w:val="000000"/>
          <w:sz w:val="32"/>
          <w:szCs w:val="32"/>
        </w:rPr>
        <w:t>指标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共计18项。</w:t>
      </w:r>
    </w:p>
    <w:p w14:paraId="45E6A538" w14:textId="77777777" w:rsidR="00B61B10" w:rsidRPr="00C06D11" w:rsidRDefault="00B61B10" w:rsidP="00B61B10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（3）评价等级</w:t>
      </w:r>
    </w:p>
    <w:p w14:paraId="3C5D29A3" w14:textId="77777777" w:rsidR="00B61B10" w:rsidRPr="00C06D11" w:rsidRDefault="00B61B10" w:rsidP="00B61B10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绿色开发区评价等级分为一星级、二星级、三星级、四星级、五星级五个等级。按评价分数确定等级。</w:t>
      </w:r>
    </w:p>
    <w:p w14:paraId="5D133951" w14:textId="77777777" w:rsidR="00B61B10" w:rsidRPr="00C06D11" w:rsidRDefault="00B61B10" w:rsidP="00B61B10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（4）评价程序</w:t>
      </w:r>
    </w:p>
    <w:p w14:paraId="458AAFDE" w14:textId="77777777" w:rsidR="00B61B10" w:rsidRPr="00C06D11" w:rsidRDefault="00716CF6" w:rsidP="00B61B10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评价程序如下：</w:t>
      </w:r>
      <w:r w:rsidR="00B61B10" w:rsidRPr="00C06D11">
        <w:rPr>
          <w:rFonts w:ascii="仿宋" w:eastAsia="仿宋" w:hAnsi="仿宋" w:hint="eastAsia"/>
          <w:color w:val="000000"/>
          <w:sz w:val="32"/>
          <w:szCs w:val="32"/>
        </w:rPr>
        <w:t>委托评价机构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→</w:t>
      </w:r>
      <w:r w:rsidR="00B61B10" w:rsidRPr="00C06D11">
        <w:rPr>
          <w:rFonts w:ascii="仿宋" w:eastAsia="仿宋" w:hAnsi="仿宋" w:hint="eastAsia"/>
          <w:color w:val="000000"/>
          <w:sz w:val="32"/>
          <w:szCs w:val="32"/>
        </w:rPr>
        <w:t>申报和受理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→</w:t>
      </w:r>
      <w:r w:rsidR="00B61B10" w:rsidRPr="00C06D11">
        <w:rPr>
          <w:rFonts w:ascii="仿宋" w:eastAsia="仿宋" w:hAnsi="仿宋" w:hint="eastAsia"/>
          <w:color w:val="000000"/>
          <w:sz w:val="32"/>
          <w:szCs w:val="32"/>
        </w:rPr>
        <w:t>评价实施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→</w:t>
      </w:r>
      <w:r w:rsidR="00B61B10" w:rsidRPr="00C06D11">
        <w:rPr>
          <w:rFonts w:ascii="仿宋" w:eastAsia="仿宋" w:hAnsi="仿宋" w:hint="eastAsia"/>
          <w:color w:val="000000"/>
          <w:sz w:val="32"/>
          <w:szCs w:val="32"/>
        </w:rPr>
        <w:t>复评安排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→</w:t>
      </w:r>
      <w:r w:rsidR="00B61B10" w:rsidRPr="00C06D11">
        <w:rPr>
          <w:rFonts w:ascii="仿宋" w:eastAsia="仿宋" w:hAnsi="仿宋" w:hint="eastAsia"/>
          <w:color w:val="000000"/>
          <w:sz w:val="32"/>
          <w:szCs w:val="32"/>
        </w:rPr>
        <w:t>评价报告发布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14:paraId="7489B083" w14:textId="77777777" w:rsidR="00B61B10" w:rsidRPr="00C06D11" w:rsidRDefault="00B61B10" w:rsidP="00B61B10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（5）评价结果使用</w:t>
      </w:r>
    </w:p>
    <w:p w14:paraId="61457BC3" w14:textId="77777777" w:rsidR="00B61B10" w:rsidRPr="00C06D11" w:rsidRDefault="00B61B10" w:rsidP="00B61B10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对于经本标准认定的绿色开发区星级评价结果，政府机关、金融机构和社会其他组织应当予以采信。</w:t>
      </w:r>
    </w:p>
    <w:p w14:paraId="41A9D084" w14:textId="77777777" w:rsidR="00B61B10" w:rsidRPr="00C06D11" w:rsidRDefault="00716CF6" w:rsidP="00716CF6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明确了</w:t>
      </w:r>
      <w:r w:rsidR="00B61B10" w:rsidRPr="00C06D11">
        <w:rPr>
          <w:rFonts w:ascii="仿宋" w:eastAsia="仿宋" w:hAnsi="仿宋" w:hint="eastAsia"/>
          <w:color w:val="000000"/>
          <w:sz w:val="32"/>
          <w:szCs w:val="32"/>
        </w:rPr>
        <w:t>综合评价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不同</w:t>
      </w:r>
      <w:r w:rsidR="00B61B10" w:rsidRPr="00C06D11">
        <w:rPr>
          <w:rFonts w:ascii="仿宋" w:eastAsia="仿宋" w:hAnsi="仿宋" w:hint="eastAsia"/>
          <w:color w:val="000000"/>
          <w:sz w:val="32"/>
          <w:szCs w:val="32"/>
        </w:rPr>
        <w:t>星级的绿色开发区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，分别给予不同的</w:t>
      </w:r>
      <w:r w:rsidR="00B61B10" w:rsidRPr="00C06D11">
        <w:rPr>
          <w:rFonts w:ascii="仿宋" w:eastAsia="仿宋" w:hAnsi="仿宋" w:hint="eastAsia"/>
          <w:color w:val="000000"/>
          <w:sz w:val="32"/>
          <w:szCs w:val="32"/>
        </w:rPr>
        <w:t>财政奖补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或</w:t>
      </w:r>
      <w:r w:rsidR="00B61B10" w:rsidRPr="00C06D11">
        <w:rPr>
          <w:rFonts w:ascii="仿宋" w:eastAsia="仿宋" w:hAnsi="仿宋" w:hint="eastAsia"/>
          <w:color w:val="000000"/>
          <w:sz w:val="32"/>
          <w:szCs w:val="32"/>
        </w:rPr>
        <w:t>金融支持方式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14:paraId="2AB12847" w14:textId="77777777" w:rsidR="00B61B10" w:rsidRPr="00C06D11" w:rsidRDefault="00B61B10" w:rsidP="00B61B10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（6）评价机构管理</w:t>
      </w:r>
    </w:p>
    <w:p w14:paraId="6962FAD7" w14:textId="77777777" w:rsidR="00D731E3" w:rsidRPr="00C06D11" w:rsidRDefault="00716CF6" w:rsidP="00B61B10">
      <w:pPr>
        <w:spacing w:line="3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C06D11">
        <w:rPr>
          <w:rFonts w:ascii="仿宋" w:eastAsia="仿宋" w:hAnsi="仿宋" w:hint="eastAsia"/>
          <w:color w:val="000000"/>
          <w:sz w:val="32"/>
          <w:szCs w:val="32"/>
        </w:rPr>
        <w:t>明确了第三方</w:t>
      </w:r>
      <w:r w:rsidR="00B61B10" w:rsidRPr="00C06D11">
        <w:rPr>
          <w:rFonts w:ascii="仿宋" w:eastAsia="仿宋" w:hAnsi="仿宋" w:hint="eastAsia"/>
          <w:color w:val="000000"/>
          <w:sz w:val="32"/>
          <w:szCs w:val="32"/>
        </w:rPr>
        <w:t>评价机构参与绿色开发区评价应当具备</w:t>
      </w:r>
      <w:r w:rsidRPr="00C06D11">
        <w:rPr>
          <w:rFonts w:ascii="仿宋" w:eastAsia="仿宋" w:hAnsi="仿宋" w:hint="eastAsia"/>
          <w:color w:val="000000"/>
          <w:sz w:val="32"/>
          <w:szCs w:val="32"/>
        </w:rPr>
        <w:t>的</w:t>
      </w:r>
      <w:r w:rsidR="00B61B10" w:rsidRPr="00C06D11">
        <w:rPr>
          <w:rFonts w:ascii="仿宋" w:eastAsia="仿宋" w:hAnsi="仿宋" w:hint="eastAsia"/>
          <w:color w:val="000000"/>
          <w:sz w:val="32"/>
          <w:szCs w:val="32"/>
        </w:rPr>
        <w:t>基本条件。</w:t>
      </w:r>
    </w:p>
    <w:sectPr w:rsidR="00D731E3" w:rsidRPr="00C06D11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28A12" w14:textId="77777777" w:rsidR="00A90C7A" w:rsidRDefault="00A90C7A">
      <w:r>
        <w:separator/>
      </w:r>
    </w:p>
  </w:endnote>
  <w:endnote w:type="continuationSeparator" w:id="0">
    <w:p w14:paraId="1C74FFD7" w14:textId="77777777" w:rsidR="00A90C7A" w:rsidRDefault="00A90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E23" w14:textId="27FBCBAE" w:rsidR="00CB2069" w:rsidRDefault="00F27DAE">
    <w:pPr>
      <w:pStyle w:val="ac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6DDB8D8" wp14:editId="7B3B2B5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9535" cy="204470"/>
              <wp:effectExtent l="0" t="0" r="0" b="0"/>
              <wp:wrapNone/>
              <wp:docPr id="418223654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09121B" w14:textId="77777777" w:rsidR="00CB2069" w:rsidRPr="00C06D11" w:rsidRDefault="00CB2069">
                          <w:pPr>
                            <w:pStyle w:val="ac"/>
                            <w:rPr>
                              <w:rStyle w:val="af"/>
                              <w:sz w:val="28"/>
                              <w:szCs w:val="28"/>
                            </w:rPr>
                          </w:pPr>
                          <w:r w:rsidRPr="00C06D11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C06D11">
                            <w:rPr>
                              <w:rStyle w:val="af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 w:rsidRPr="00C06D11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73DDC" w:rsidRPr="00C06D11">
                            <w:rPr>
                              <w:rStyle w:val="af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 w:rsidRPr="00C06D11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DDB8D8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7.05pt;height:16.1pt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" filled="f" stroked="f">
              <v:textbox style="mso-fit-shape-to-text:t" inset="0,0,0,0">
                <w:txbxContent>
                  <w:p w14:paraId="4309121B" w14:textId="77777777" w:rsidR="00CB2069" w:rsidRPr="00C06D11" w:rsidRDefault="00CB2069">
                    <w:pPr>
                      <w:pStyle w:val="ac"/>
                      <w:rPr>
                        <w:rStyle w:val="af"/>
                        <w:sz w:val="28"/>
                        <w:szCs w:val="28"/>
                      </w:rPr>
                    </w:pPr>
                    <w:r w:rsidRPr="00C06D11">
                      <w:rPr>
                        <w:sz w:val="28"/>
                        <w:szCs w:val="28"/>
                      </w:rPr>
                      <w:fldChar w:fldCharType="begin"/>
                    </w:r>
                    <w:r w:rsidRPr="00C06D11">
                      <w:rPr>
                        <w:rStyle w:val="af"/>
                        <w:sz w:val="28"/>
                        <w:szCs w:val="28"/>
                      </w:rPr>
                      <w:instrText xml:space="preserve">PAGE  </w:instrText>
                    </w:r>
                    <w:r w:rsidRPr="00C06D11">
                      <w:rPr>
                        <w:sz w:val="28"/>
                        <w:szCs w:val="28"/>
                      </w:rPr>
                      <w:fldChar w:fldCharType="separate"/>
                    </w:r>
                    <w:r w:rsidR="00E73DDC" w:rsidRPr="00C06D11">
                      <w:rPr>
                        <w:rStyle w:val="af"/>
                        <w:noProof/>
                        <w:sz w:val="28"/>
                        <w:szCs w:val="28"/>
                      </w:rPr>
                      <w:t>1</w:t>
                    </w:r>
                    <w:r w:rsidRPr="00C06D11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FF9F3" w14:textId="77777777" w:rsidR="00A90C7A" w:rsidRDefault="00A90C7A">
      <w:r>
        <w:separator/>
      </w:r>
    </w:p>
  </w:footnote>
  <w:footnote w:type="continuationSeparator" w:id="0">
    <w:p w14:paraId="31665C30" w14:textId="77777777" w:rsidR="00A90C7A" w:rsidRDefault="00A90C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C4B5789"/>
    <w:multiLevelType w:val="singleLevel"/>
    <w:tmpl w:val="9C4B5789"/>
    <w:lvl w:ilvl="0">
      <w:start w:val="1"/>
      <w:numFmt w:val="lowerLetter"/>
      <w:lvlText w:val="%1)"/>
      <w:lvlJc w:val="left"/>
      <w:pPr>
        <w:tabs>
          <w:tab w:val="left" w:pos="312"/>
        </w:tabs>
      </w:pPr>
    </w:lvl>
  </w:abstractNum>
  <w:abstractNum w:abstractNumId="1" w15:restartNumberingAfterBreak="0">
    <w:nsid w:val="44C50F90"/>
    <w:multiLevelType w:val="multilevel"/>
    <w:tmpl w:val="44C50F90"/>
    <w:lvl w:ilvl="0">
      <w:start w:val="1"/>
      <w:numFmt w:val="lowerLetter"/>
      <w:lvlText w:val="%1)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sz w:val="21"/>
      </w:rPr>
    </w:lvl>
    <w:lvl w:ilvl="1">
      <w:start w:val="1"/>
      <w:numFmt w:val="decimal"/>
      <w:lvlText w:val="%2)"/>
      <w:lvlJc w:val="left"/>
      <w:pPr>
        <w:tabs>
          <w:tab w:val="left" w:pos="1276"/>
        </w:tabs>
        <w:ind w:left="1276" w:hanging="425"/>
      </w:pPr>
      <w:rPr>
        <w:rFonts w:ascii="宋体" w:eastAsia="宋体" w:hAnsi="Times New Roman" w:hint="eastAsia"/>
        <w:sz w:val="21"/>
      </w:rPr>
    </w:lvl>
    <w:lvl w:ilvl="2">
      <w:start w:val="1"/>
      <w:numFmt w:val="decimal"/>
      <w:lvlText w:val="(%3)"/>
      <w:lvlJc w:val="left"/>
      <w:pPr>
        <w:ind w:left="1701" w:hanging="425"/>
      </w:pPr>
      <w:rPr>
        <w:rFonts w:ascii="宋体" w:eastAsia="宋体" w:hAnsi="Times New Roman" w:hint="eastAsia"/>
        <w:sz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2" w15:restartNumberingAfterBreak="0">
    <w:nsid w:val="5808DFE0"/>
    <w:multiLevelType w:val="multilevel"/>
    <w:tmpl w:val="5808DFE0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3" w15:restartNumberingAfterBreak="0">
    <w:nsid w:val="5E907A24"/>
    <w:multiLevelType w:val="multilevel"/>
    <w:tmpl w:val="5E907A24"/>
    <w:lvl w:ilvl="0">
      <w:start w:val="1"/>
      <w:numFmt w:val="lowerLetter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0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 w16cid:durableId="184833750">
    <w:abstractNumId w:val="4"/>
  </w:num>
  <w:num w:numId="2" w16cid:durableId="343363708">
    <w:abstractNumId w:val="3"/>
  </w:num>
  <w:num w:numId="3" w16cid:durableId="1832061283">
    <w:abstractNumId w:val="1"/>
  </w:num>
  <w:num w:numId="4" w16cid:durableId="1276213826">
    <w:abstractNumId w:val="2"/>
  </w:num>
  <w:num w:numId="5" w16cid:durableId="430324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9BE"/>
    <w:rsid w:val="000100CA"/>
    <w:rsid w:val="00023C5E"/>
    <w:rsid w:val="00030DE1"/>
    <w:rsid w:val="00050261"/>
    <w:rsid w:val="00053E9A"/>
    <w:rsid w:val="00066A79"/>
    <w:rsid w:val="00076BE5"/>
    <w:rsid w:val="000878B3"/>
    <w:rsid w:val="00090ECC"/>
    <w:rsid w:val="00093327"/>
    <w:rsid w:val="000A76C9"/>
    <w:rsid w:val="000B1079"/>
    <w:rsid w:val="000B1BAE"/>
    <w:rsid w:val="000B33D1"/>
    <w:rsid w:val="000B3EBE"/>
    <w:rsid w:val="000B5A39"/>
    <w:rsid w:val="000C1FDE"/>
    <w:rsid w:val="000D263F"/>
    <w:rsid w:val="000E524B"/>
    <w:rsid w:val="000F4E99"/>
    <w:rsid w:val="00116973"/>
    <w:rsid w:val="001409BE"/>
    <w:rsid w:val="00143FE4"/>
    <w:rsid w:val="00146D26"/>
    <w:rsid w:val="00153D2E"/>
    <w:rsid w:val="00157EAC"/>
    <w:rsid w:val="001607AB"/>
    <w:rsid w:val="0016159E"/>
    <w:rsid w:val="00163693"/>
    <w:rsid w:val="00173256"/>
    <w:rsid w:val="00175137"/>
    <w:rsid w:val="001800E5"/>
    <w:rsid w:val="00183C63"/>
    <w:rsid w:val="0019713C"/>
    <w:rsid w:val="00197C94"/>
    <w:rsid w:val="001A2F23"/>
    <w:rsid w:val="001C08AD"/>
    <w:rsid w:val="001C1E40"/>
    <w:rsid w:val="001F4F8A"/>
    <w:rsid w:val="001F517D"/>
    <w:rsid w:val="001F69E7"/>
    <w:rsid w:val="0020021F"/>
    <w:rsid w:val="00204C41"/>
    <w:rsid w:val="002069B4"/>
    <w:rsid w:val="00210185"/>
    <w:rsid w:val="00212364"/>
    <w:rsid w:val="00216692"/>
    <w:rsid w:val="00236800"/>
    <w:rsid w:val="0025132A"/>
    <w:rsid w:val="00261B70"/>
    <w:rsid w:val="00280732"/>
    <w:rsid w:val="002821BD"/>
    <w:rsid w:val="00285837"/>
    <w:rsid w:val="00286CB5"/>
    <w:rsid w:val="002A13A5"/>
    <w:rsid w:val="002A6DDA"/>
    <w:rsid w:val="002E3B19"/>
    <w:rsid w:val="002E4003"/>
    <w:rsid w:val="002E4DE1"/>
    <w:rsid w:val="002E5787"/>
    <w:rsid w:val="002E7A18"/>
    <w:rsid w:val="002F3F7B"/>
    <w:rsid w:val="002F5A27"/>
    <w:rsid w:val="002F726B"/>
    <w:rsid w:val="002F736A"/>
    <w:rsid w:val="00300924"/>
    <w:rsid w:val="00301298"/>
    <w:rsid w:val="00313B40"/>
    <w:rsid w:val="0031741F"/>
    <w:rsid w:val="00317596"/>
    <w:rsid w:val="00320C51"/>
    <w:rsid w:val="00341D09"/>
    <w:rsid w:val="0035640F"/>
    <w:rsid w:val="00357E05"/>
    <w:rsid w:val="003619E7"/>
    <w:rsid w:val="003632FF"/>
    <w:rsid w:val="00366D11"/>
    <w:rsid w:val="00370B93"/>
    <w:rsid w:val="00370BCB"/>
    <w:rsid w:val="00372252"/>
    <w:rsid w:val="00376FAD"/>
    <w:rsid w:val="00377273"/>
    <w:rsid w:val="00392911"/>
    <w:rsid w:val="00397302"/>
    <w:rsid w:val="003B1C11"/>
    <w:rsid w:val="003B3D08"/>
    <w:rsid w:val="003C0976"/>
    <w:rsid w:val="003C5A43"/>
    <w:rsid w:val="003D3017"/>
    <w:rsid w:val="003D5083"/>
    <w:rsid w:val="003E0D97"/>
    <w:rsid w:val="003E58F2"/>
    <w:rsid w:val="003F4037"/>
    <w:rsid w:val="003F4800"/>
    <w:rsid w:val="003F5E83"/>
    <w:rsid w:val="0040486E"/>
    <w:rsid w:val="00407689"/>
    <w:rsid w:val="00412919"/>
    <w:rsid w:val="00417538"/>
    <w:rsid w:val="00430DC6"/>
    <w:rsid w:val="00435B58"/>
    <w:rsid w:val="004373C5"/>
    <w:rsid w:val="004508F1"/>
    <w:rsid w:val="00457B8F"/>
    <w:rsid w:val="00492E79"/>
    <w:rsid w:val="0049477E"/>
    <w:rsid w:val="004B138A"/>
    <w:rsid w:val="004B1C24"/>
    <w:rsid w:val="004B3C9F"/>
    <w:rsid w:val="004C1E22"/>
    <w:rsid w:val="004D346E"/>
    <w:rsid w:val="004F637C"/>
    <w:rsid w:val="00500F27"/>
    <w:rsid w:val="00500FB8"/>
    <w:rsid w:val="005106B0"/>
    <w:rsid w:val="00516119"/>
    <w:rsid w:val="00517AE1"/>
    <w:rsid w:val="00537B96"/>
    <w:rsid w:val="00550BE4"/>
    <w:rsid w:val="005603EC"/>
    <w:rsid w:val="00562308"/>
    <w:rsid w:val="005634A1"/>
    <w:rsid w:val="0057525E"/>
    <w:rsid w:val="00576413"/>
    <w:rsid w:val="005769AB"/>
    <w:rsid w:val="00582AED"/>
    <w:rsid w:val="00586845"/>
    <w:rsid w:val="00593772"/>
    <w:rsid w:val="00596682"/>
    <w:rsid w:val="005A5A10"/>
    <w:rsid w:val="005B7537"/>
    <w:rsid w:val="005C3D1F"/>
    <w:rsid w:val="005C75E6"/>
    <w:rsid w:val="005D156A"/>
    <w:rsid w:val="005D4D7F"/>
    <w:rsid w:val="005E1196"/>
    <w:rsid w:val="005E58DE"/>
    <w:rsid w:val="005E796B"/>
    <w:rsid w:val="006015F5"/>
    <w:rsid w:val="006029E5"/>
    <w:rsid w:val="00632A2C"/>
    <w:rsid w:val="00632DDE"/>
    <w:rsid w:val="006403BB"/>
    <w:rsid w:val="00645838"/>
    <w:rsid w:val="00665413"/>
    <w:rsid w:val="00666F26"/>
    <w:rsid w:val="00672B21"/>
    <w:rsid w:val="006763B1"/>
    <w:rsid w:val="006806A1"/>
    <w:rsid w:val="006812DC"/>
    <w:rsid w:val="006849DB"/>
    <w:rsid w:val="0068693D"/>
    <w:rsid w:val="00687FBD"/>
    <w:rsid w:val="00694C27"/>
    <w:rsid w:val="006A2134"/>
    <w:rsid w:val="006B5095"/>
    <w:rsid w:val="006C5B7B"/>
    <w:rsid w:val="006C62D8"/>
    <w:rsid w:val="006C752B"/>
    <w:rsid w:val="006C76D8"/>
    <w:rsid w:val="006D06B6"/>
    <w:rsid w:val="006D46C2"/>
    <w:rsid w:val="006E6C90"/>
    <w:rsid w:val="006F0781"/>
    <w:rsid w:val="006F3F5C"/>
    <w:rsid w:val="00704100"/>
    <w:rsid w:val="0070582E"/>
    <w:rsid w:val="0070650A"/>
    <w:rsid w:val="00707073"/>
    <w:rsid w:val="00714183"/>
    <w:rsid w:val="00716CF6"/>
    <w:rsid w:val="00716FCF"/>
    <w:rsid w:val="007202C6"/>
    <w:rsid w:val="00720496"/>
    <w:rsid w:val="0076701F"/>
    <w:rsid w:val="00773D03"/>
    <w:rsid w:val="00780AB3"/>
    <w:rsid w:val="00782024"/>
    <w:rsid w:val="00785F12"/>
    <w:rsid w:val="0079273B"/>
    <w:rsid w:val="007A6904"/>
    <w:rsid w:val="007B5B82"/>
    <w:rsid w:val="007B7D71"/>
    <w:rsid w:val="007C0503"/>
    <w:rsid w:val="007C2674"/>
    <w:rsid w:val="007D55C3"/>
    <w:rsid w:val="007D792C"/>
    <w:rsid w:val="007E0AF0"/>
    <w:rsid w:val="0080113C"/>
    <w:rsid w:val="00801363"/>
    <w:rsid w:val="008056DA"/>
    <w:rsid w:val="00806964"/>
    <w:rsid w:val="00807E3C"/>
    <w:rsid w:val="00813635"/>
    <w:rsid w:val="00814941"/>
    <w:rsid w:val="00823F50"/>
    <w:rsid w:val="00825C10"/>
    <w:rsid w:val="008268F4"/>
    <w:rsid w:val="00831962"/>
    <w:rsid w:val="0083270F"/>
    <w:rsid w:val="008375A2"/>
    <w:rsid w:val="0084118D"/>
    <w:rsid w:val="008432F1"/>
    <w:rsid w:val="008623EC"/>
    <w:rsid w:val="008651ED"/>
    <w:rsid w:val="00882A34"/>
    <w:rsid w:val="00882A62"/>
    <w:rsid w:val="00886C04"/>
    <w:rsid w:val="0089649D"/>
    <w:rsid w:val="008A0FE3"/>
    <w:rsid w:val="008A4A77"/>
    <w:rsid w:val="008B18CF"/>
    <w:rsid w:val="008B3423"/>
    <w:rsid w:val="008B4176"/>
    <w:rsid w:val="008B5F18"/>
    <w:rsid w:val="008C7854"/>
    <w:rsid w:val="008E28B9"/>
    <w:rsid w:val="008E6BDF"/>
    <w:rsid w:val="008F1BE4"/>
    <w:rsid w:val="008F1FBE"/>
    <w:rsid w:val="008F5890"/>
    <w:rsid w:val="009069FA"/>
    <w:rsid w:val="00923818"/>
    <w:rsid w:val="0093638F"/>
    <w:rsid w:val="009437E4"/>
    <w:rsid w:val="00944057"/>
    <w:rsid w:val="00957E6A"/>
    <w:rsid w:val="009639EE"/>
    <w:rsid w:val="00970402"/>
    <w:rsid w:val="00974BB0"/>
    <w:rsid w:val="00975FDB"/>
    <w:rsid w:val="00993A3E"/>
    <w:rsid w:val="009A58E5"/>
    <w:rsid w:val="009A75EE"/>
    <w:rsid w:val="009B2EAD"/>
    <w:rsid w:val="009B42E8"/>
    <w:rsid w:val="009D46EA"/>
    <w:rsid w:val="009E0F1D"/>
    <w:rsid w:val="009E25C9"/>
    <w:rsid w:val="009E6206"/>
    <w:rsid w:val="00A1699E"/>
    <w:rsid w:val="00A17823"/>
    <w:rsid w:val="00A30581"/>
    <w:rsid w:val="00A32AA7"/>
    <w:rsid w:val="00A52574"/>
    <w:rsid w:val="00A55900"/>
    <w:rsid w:val="00A55ED0"/>
    <w:rsid w:val="00A57323"/>
    <w:rsid w:val="00A60C29"/>
    <w:rsid w:val="00A65AAF"/>
    <w:rsid w:val="00A839ED"/>
    <w:rsid w:val="00A85209"/>
    <w:rsid w:val="00A876D0"/>
    <w:rsid w:val="00A87E95"/>
    <w:rsid w:val="00A90C7A"/>
    <w:rsid w:val="00AA26A4"/>
    <w:rsid w:val="00AB3D27"/>
    <w:rsid w:val="00AE3313"/>
    <w:rsid w:val="00AE39BB"/>
    <w:rsid w:val="00B029DA"/>
    <w:rsid w:val="00B04CC2"/>
    <w:rsid w:val="00B30F51"/>
    <w:rsid w:val="00B34DF1"/>
    <w:rsid w:val="00B501E8"/>
    <w:rsid w:val="00B577DF"/>
    <w:rsid w:val="00B61B10"/>
    <w:rsid w:val="00B64799"/>
    <w:rsid w:val="00B7333C"/>
    <w:rsid w:val="00B840A2"/>
    <w:rsid w:val="00BA13BB"/>
    <w:rsid w:val="00BA6160"/>
    <w:rsid w:val="00BA6217"/>
    <w:rsid w:val="00BA639A"/>
    <w:rsid w:val="00BA753D"/>
    <w:rsid w:val="00BD2673"/>
    <w:rsid w:val="00BD5D6D"/>
    <w:rsid w:val="00BE7A3D"/>
    <w:rsid w:val="00BF2C64"/>
    <w:rsid w:val="00C01215"/>
    <w:rsid w:val="00C03D5F"/>
    <w:rsid w:val="00C06D11"/>
    <w:rsid w:val="00C10230"/>
    <w:rsid w:val="00C10A67"/>
    <w:rsid w:val="00C10F6F"/>
    <w:rsid w:val="00C1340A"/>
    <w:rsid w:val="00C1450D"/>
    <w:rsid w:val="00C1690D"/>
    <w:rsid w:val="00C16FB8"/>
    <w:rsid w:val="00C209CA"/>
    <w:rsid w:val="00C23BFC"/>
    <w:rsid w:val="00C26A5F"/>
    <w:rsid w:val="00C30905"/>
    <w:rsid w:val="00C36170"/>
    <w:rsid w:val="00C472C7"/>
    <w:rsid w:val="00C60BAC"/>
    <w:rsid w:val="00C640A1"/>
    <w:rsid w:val="00C734C4"/>
    <w:rsid w:val="00C73783"/>
    <w:rsid w:val="00C92567"/>
    <w:rsid w:val="00C94F4C"/>
    <w:rsid w:val="00C95DD5"/>
    <w:rsid w:val="00C96400"/>
    <w:rsid w:val="00C97892"/>
    <w:rsid w:val="00CB2069"/>
    <w:rsid w:val="00CC6F45"/>
    <w:rsid w:val="00CD6E60"/>
    <w:rsid w:val="00CD7897"/>
    <w:rsid w:val="00CE4B85"/>
    <w:rsid w:val="00CE74FD"/>
    <w:rsid w:val="00CF18A4"/>
    <w:rsid w:val="00CF71F1"/>
    <w:rsid w:val="00D13ECA"/>
    <w:rsid w:val="00D265A6"/>
    <w:rsid w:val="00D3227C"/>
    <w:rsid w:val="00D362CB"/>
    <w:rsid w:val="00D55DA6"/>
    <w:rsid w:val="00D731E3"/>
    <w:rsid w:val="00D73E25"/>
    <w:rsid w:val="00D83A70"/>
    <w:rsid w:val="00D94EB2"/>
    <w:rsid w:val="00DA50A7"/>
    <w:rsid w:val="00DA6FD8"/>
    <w:rsid w:val="00DA7BDD"/>
    <w:rsid w:val="00DA7FE6"/>
    <w:rsid w:val="00DB0A28"/>
    <w:rsid w:val="00DB6BD3"/>
    <w:rsid w:val="00DC4032"/>
    <w:rsid w:val="00DC5717"/>
    <w:rsid w:val="00DC5CFB"/>
    <w:rsid w:val="00DC5FEA"/>
    <w:rsid w:val="00DD54EE"/>
    <w:rsid w:val="00DD7214"/>
    <w:rsid w:val="00DF1F8D"/>
    <w:rsid w:val="00DF640B"/>
    <w:rsid w:val="00E17713"/>
    <w:rsid w:val="00E21B54"/>
    <w:rsid w:val="00E265A7"/>
    <w:rsid w:val="00E26A65"/>
    <w:rsid w:val="00E347A9"/>
    <w:rsid w:val="00E40D2C"/>
    <w:rsid w:val="00E43643"/>
    <w:rsid w:val="00E7277A"/>
    <w:rsid w:val="00E73DDC"/>
    <w:rsid w:val="00E75C65"/>
    <w:rsid w:val="00E8172F"/>
    <w:rsid w:val="00E92CD4"/>
    <w:rsid w:val="00E95321"/>
    <w:rsid w:val="00EA0E8B"/>
    <w:rsid w:val="00EA5353"/>
    <w:rsid w:val="00EB080B"/>
    <w:rsid w:val="00EB3815"/>
    <w:rsid w:val="00EC1782"/>
    <w:rsid w:val="00EC2C25"/>
    <w:rsid w:val="00EC5016"/>
    <w:rsid w:val="00EE31AE"/>
    <w:rsid w:val="00EF46D5"/>
    <w:rsid w:val="00F05896"/>
    <w:rsid w:val="00F061EF"/>
    <w:rsid w:val="00F27DAE"/>
    <w:rsid w:val="00F314E0"/>
    <w:rsid w:val="00F50999"/>
    <w:rsid w:val="00F50EA0"/>
    <w:rsid w:val="00F52E5B"/>
    <w:rsid w:val="00F73037"/>
    <w:rsid w:val="00F83A3B"/>
    <w:rsid w:val="00F8449D"/>
    <w:rsid w:val="00F9097B"/>
    <w:rsid w:val="00FA4F93"/>
    <w:rsid w:val="00FA5928"/>
    <w:rsid w:val="00FA7EB8"/>
    <w:rsid w:val="00FB5E03"/>
    <w:rsid w:val="00FB7895"/>
    <w:rsid w:val="00FC0406"/>
    <w:rsid w:val="017060BC"/>
    <w:rsid w:val="01F40B14"/>
    <w:rsid w:val="03860F92"/>
    <w:rsid w:val="039D7238"/>
    <w:rsid w:val="04AF68BD"/>
    <w:rsid w:val="053F1D3E"/>
    <w:rsid w:val="08E01135"/>
    <w:rsid w:val="0A416D31"/>
    <w:rsid w:val="0AFF382B"/>
    <w:rsid w:val="0B432D22"/>
    <w:rsid w:val="0B9B49AD"/>
    <w:rsid w:val="0BDD22D0"/>
    <w:rsid w:val="0C7B009A"/>
    <w:rsid w:val="0F520D00"/>
    <w:rsid w:val="12A7252C"/>
    <w:rsid w:val="12D243C4"/>
    <w:rsid w:val="131F7D7F"/>
    <w:rsid w:val="13BA38FE"/>
    <w:rsid w:val="14BE5718"/>
    <w:rsid w:val="15463B62"/>
    <w:rsid w:val="158204A0"/>
    <w:rsid w:val="171B08E4"/>
    <w:rsid w:val="18E202CC"/>
    <w:rsid w:val="197A1BB9"/>
    <w:rsid w:val="1A277D26"/>
    <w:rsid w:val="1A894173"/>
    <w:rsid w:val="1ACA15DD"/>
    <w:rsid w:val="1B72771A"/>
    <w:rsid w:val="1CCE0FE4"/>
    <w:rsid w:val="1CD50FA7"/>
    <w:rsid w:val="1DA94661"/>
    <w:rsid w:val="1EE9529F"/>
    <w:rsid w:val="20503A03"/>
    <w:rsid w:val="209E3240"/>
    <w:rsid w:val="22455E06"/>
    <w:rsid w:val="22465E0E"/>
    <w:rsid w:val="237B31FF"/>
    <w:rsid w:val="238D24AD"/>
    <w:rsid w:val="238E1F74"/>
    <w:rsid w:val="23EF6DB0"/>
    <w:rsid w:val="24BD37BF"/>
    <w:rsid w:val="2543296C"/>
    <w:rsid w:val="265543C7"/>
    <w:rsid w:val="26A10ACE"/>
    <w:rsid w:val="27253D17"/>
    <w:rsid w:val="27C5379B"/>
    <w:rsid w:val="28E36928"/>
    <w:rsid w:val="2935593A"/>
    <w:rsid w:val="29D87DC4"/>
    <w:rsid w:val="2BA42031"/>
    <w:rsid w:val="2D015C3B"/>
    <w:rsid w:val="2D5E4E95"/>
    <w:rsid w:val="30B52963"/>
    <w:rsid w:val="311961A0"/>
    <w:rsid w:val="3142704A"/>
    <w:rsid w:val="32220E25"/>
    <w:rsid w:val="329E7C8C"/>
    <w:rsid w:val="32BA2096"/>
    <w:rsid w:val="33442BED"/>
    <w:rsid w:val="340E64B6"/>
    <w:rsid w:val="34B30581"/>
    <w:rsid w:val="34EE228E"/>
    <w:rsid w:val="35031F4C"/>
    <w:rsid w:val="380E4B7A"/>
    <w:rsid w:val="381747C3"/>
    <w:rsid w:val="38B678AE"/>
    <w:rsid w:val="3AE803CC"/>
    <w:rsid w:val="3B250F75"/>
    <w:rsid w:val="3BA20AF1"/>
    <w:rsid w:val="3C001A45"/>
    <w:rsid w:val="3CBB4298"/>
    <w:rsid w:val="3D497A3E"/>
    <w:rsid w:val="3E5449EE"/>
    <w:rsid w:val="3F193488"/>
    <w:rsid w:val="3F335CE5"/>
    <w:rsid w:val="3FA417FC"/>
    <w:rsid w:val="3FE368E1"/>
    <w:rsid w:val="403232F3"/>
    <w:rsid w:val="419C7B64"/>
    <w:rsid w:val="43130EE1"/>
    <w:rsid w:val="434049EF"/>
    <w:rsid w:val="43C41181"/>
    <w:rsid w:val="447D1602"/>
    <w:rsid w:val="4651648E"/>
    <w:rsid w:val="46760E45"/>
    <w:rsid w:val="46A7542D"/>
    <w:rsid w:val="499109D3"/>
    <w:rsid w:val="49C07E5C"/>
    <w:rsid w:val="4E491D9D"/>
    <w:rsid w:val="4E545EE9"/>
    <w:rsid w:val="4E7E368F"/>
    <w:rsid w:val="4EBB4764"/>
    <w:rsid w:val="4EF9483A"/>
    <w:rsid w:val="51225062"/>
    <w:rsid w:val="51B31811"/>
    <w:rsid w:val="52A03A59"/>
    <w:rsid w:val="530B2135"/>
    <w:rsid w:val="537F616A"/>
    <w:rsid w:val="55D044B2"/>
    <w:rsid w:val="560201FF"/>
    <w:rsid w:val="56801129"/>
    <w:rsid w:val="5AB15868"/>
    <w:rsid w:val="5BD06357"/>
    <w:rsid w:val="5BD526AC"/>
    <w:rsid w:val="5F20368A"/>
    <w:rsid w:val="5FB54C34"/>
    <w:rsid w:val="5FFB156D"/>
    <w:rsid w:val="601F094B"/>
    <w:rsid w:val="635556FA"/>
    <w:rsid w:val="645F052B"/>
    <w:rsid w:val="64632F8C"/>
    <w:rsid w:val="65497499"/>
    <w:rsid w:val="668A6730"/>
    <w:rsid w:val="673331DF"/>
    <w:rsid w:val="68060267"/>
    <w:rsid w:val="6B0A11DB"/>
    <w:rsid w:val="6BF473D1"/>
    <w:rsid w:val="6C741166"/>
    <w:rsid w:val="6C9F39CD"/>
    <w:rsid w:val="6CF560CF"/>
    <w:rsid w:val="6D0F5A2E"/>
    <w:rsid w:val="6D3B0BA0"/>
    <w:rsid w:val="6D6830E8"/>
    <w:rsid w:val="6D91132F"/>
    <w:rsid w:val="6E8462B1"/>
    <w:rsid w:val="6EE557B5"/>
    <w:rsid w:val="6EE6118D"/>
    <w:rsid w:val="6F443BB4"/>
    <w:rsid w:val="701617A7"/>
    <w:rsid w:val="716D6BB5"/>
    <w:rsid w:val="71B63C5D"/>
    <w:rsid w:val="77E82D08"/>
    <w:rsid w:val="784640F7"/>
    <w:rsid w:val="78575A89"/>
    <w:rsid w:val="7922474B"/>
    <w:rsid w:val="7A5709AE"/>
    <w:rsid w:val="7D1909EB"/>
    <w:rsid w:val="7D750711"/>
    <w:rsid w:val="7D9A623A"/>
    <w:rsid w:val="7E135C35"/>
    <w:rsid w:val="7ED5484D"/>
    <w:rsid w:val="7FB0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8BE990D"/>
  <w15:chartTrackingRefBased/>
  <w15:docId w15:val="{79E7CA70-3C8E-42B2-9F84-829C2FA8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7">
    <w:name w:val="Default Paragraph Font"/>
    <w:uiPriority w:val="1"/>
    <w:unhideWhenUsed/>
  </w:style>
  <w:style w:type="table" w:default="1" w:styleId="a8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Document Map"/>
    <w:basedOn w:val="a6"/>
    <w:link w:val="Char"/>
    <w:uiPriority w:val="99"/>
    <w:unhideWhenUsed/>
    <w:rPr>
      <w:rFonts w:ascii="宋体"/>
      <w:sz w:val="18"/>
      <w:szCs w:val="18"/>
      <w:lang w:val="x-none" w:eastAsia="x-none"/>
    </w:rPr>
  </w:style>
  <w:style w:type="character" w:customStyle="1" w:styleId="Char">
    <w:name w:val="文档结构图 Char"/>
    <w:link w:val="aa"/>
    <w:uiPriority w:val="99"/>
    <w:semiHidden/>
    <w:rPr>
      <w:rFonts w:ascii="宋体" w:hAnsi="Times New Roman"/>
      <w:kern w:val="2"/>
      <w:sz w:val="18"/>
      <w:szCs w:val="18"/>
    </w:rPr>
  </w:style>
  <w:style w:type="paragraph" w:styleId="ab">
    <w:name w:val="Balloon Text"/>
    <w:basedOn w:val="a6"/>
    <w:link w:val="Char0"/>
    <w:uiPriority w:val="99"/>
    <w:unhideWhenUsed/>
    <w:rPr>
      <w:kern w:val="0"/>
      <w:sz w:val="18"/>
      <w:szCs w:val="18"/>
      <w:lang w:val="x-none" w:eastAsia="x-none"/>
    </w:rPr>
  </w:style>
  <w:style w:type="character" w:customStyle="1" w:styleId="Char0">
    <w:name w:val="批注框文本 Char"/>
    <w:link w:val="ab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c">
    <w:name w:val="footer"/>
    <w:basedOn w:val="a6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Char1">
    <w:name w:val="页脚 Char"/>
    <w:link w:val="ac"/>
    <w:uiPriority w:val="99"/>
    <w:rPr>
      <w:sz w:val="18"/>
      <w:szCs w:val="18"/>
    </w:rPr>
  </w:style>
  <w:style w:type="paragraph" w:styleId="ad">
    <w:name w:val="header"/>
    <w:basedOn w:val="a6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Char2">
    <w:name w:val="页眉 Char"/>
    <w:link w:val="ad"/>
    <w:uiPriority w:val="99"/>
    <w:rPr>
      <w:sz w:val="18"/>
      <w:szCs w:val="18"/>
    </w:rPr>
  </w:style>
  <w:style w:type="paragraph" w:styleId="ae">
    <w:name w:val="Normal (Web)"/>
    <w:basedOn w:val="a6"/>
    <w:semiHidden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">
    <w:name w:val="page number"/>
    <w:semiHidden/>
  </w:style>
  <w:style w:type="paragraph" w:customStyle="1" w:styleId="af0">
    <w:name w:val="一级条标题"/>
    <w:next w:val="af1"/>
    <w:pPr>
      <w:outlineLvl w:val="2"/>
    </w:pPr>
    <w:rPr>
      <w:rFonts w:eastAsia="黑体"/>
      <w:sz w:val="21"/>
    </w:rPr>
  </w:style>
  <w:style w:type="paragraph" w:customStyle="1" w:styleId="af1">
    <w:name w:val="段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2">
    <w:name w:val="封面标准名称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WPSOffice2">
    <w:name w:val="WPSOffice手动目录 2"/>
    <w:pPr>
      <w:ind w:leftChars="200"/>
    </w:pPr>
  </w:style>
  <w:style w:type="paragraph" w:customStyle="1" w:styleId="WPSOffice1">
    <w:name w:val="WPSOffice手动目录 1"/>
  </w:style>
  <w:style w:type="paragraph" w:styleId="af3">
    <w:name w:val="列出段落"/>
    <w:basedOn w:val="a6"/>
    <w:uiPriority w:val="34"/>
    <w:qFormat/>
    <w:pPr>
      <w:ind w:firstLineChars="200" w:firstLine="420"/>
    </w:pPr>
  </w:style>
  <w:style w:type="paragraph" w:customStyle="1" w:styleId="a2">
    <w:name w:val="标准文件_二级条标题"/>
    <w:next w:val="a6"/>
    <w:qFormat/>
    <w:rsid w:val="001607AB"/>
    <w:pPr>
      <w:widowControl w:val="0"/>
      <w:numPr>
        <w:ilvl w:val="3"/>
        <w:numId w:val="1"/>
      </w:numPr>
      <w:spacing w:beforeLines="50" w:before="50" w:afterLines="50" w:after="50"/>
      <w:jc w:val="both"/>
      <w:outlineLvl w:val="2"/>
    </w:pPr>
    <w:rPr>
      <w:rFonts w:ascii="黑体" w:eastAsia="黑体"/>
      <w:sz w:val="21"/>
    </w:rPr>
  </w:style>
  <w:style w:type="paragraph" w:customStyle="1" w:styleId="a3">
    <w:name w:val="标准文件_三级条标题"/>
    <w:basedOn w:val="a2"/>
    <w:next w:val="a6"/>
    <w:qFormat/>
    <w:rsid w:val="001607AB"/>
    <w:pPr>
      <w:widowControl/>
      <w:numPr>
        <w:ilvl w:val="4"/>
      </w:numPr>
      <w:outlineLvl w:val="3"/>
    </w:pPr>
  </w:style>
  <w:style w:type="paragraph" w:customStyle="1" w:styleId="a4">
    <w:name w:val="标准文件_四级条标题"/>
    <w:next w:val="a6"/>
    <w:qFormat/>
    <w:rsid w:val="001607AB"/>
    <w:pPr>
      <w:widowControl w:val="0"/>
      <w:numPr>
        <w:ilvl w:val="5"/>
        <w:numId w:val="1"/>
      </w:numPr>
      <w:spacing w:beforeLines="50" w:before="50" w:afterLines="50" w:after="50"/>
      <w:jc w:val="both"/>
      <w:outlineLvl w:val="4"/>
    </w:pPr>
    <w:rPr>
      <w:rFonts w:ascii="黑体" w:eastAsia="黑体"/>
      <w:sz w:val="21"/>
    </w:rPr>
  </w:style>
  <w:style w:type="paragraph" w:customStyle="1" w:styleId="a5">
    <w:name w:val="标准文件_五级条标题"/>
    <w:next w:val="a6"/>
    <w:qFormat/>
    <w:rsid w:val="001607AB"/>
    <w:pPr>
      <w:widowControl w:val="0"/>
      <w:numPr>
        <w:ilvl w:val="6"/>
        <w:numId w:val="1"/>
      </w:numPr>
      <w:spacing w:beforeLines="50" w:before="50" w:afterLines="50" w:after="50"/>
      <w:jc w:val="both"/>
      <w:outlineLvl w:val="5"/>
    </w:pPr>
    <w:rPr>
      <w:rFonts w:ascii="黑体" w:eastAsia="黑体"/>
      <w:sz w:val="21"/>
    </w:rPr>
  </w:style>
  <w:style w:type="paragraph" w:customStyle="1" w:styleId="a0">
    <w:name w:val="标准文件_章标题"/>
    <w:next w:val="a6"/>
    <w:qFormat/>
    <w:rsid w:val="001607AB"/>
    <w:pPr>
      <w:numPr>
        <w:ilvl w:val="1"/>
        <w:numId w:val="1"/>
      </w:numPr>
      <w:spacing w:beforeLines="100" w:before="100" w:afterLines="100" w:after="100"/>
      <w:jc w:val="both"/>
      <w:outlineLvl w:val="0"/>
    </w:pPr>
    <w:rPr>
      <w:rFonts w:ascii="黑体" w:eastAsia="黑体"/>
      <w:sz w:val="21"/>
    </w:rPr>
  </w:style>
  <w:style w:type="paragraph" w:customStyle="1" w:styleId="a1">
    <w:name w:val="标准文件_一级条标题"/>
    <w:basedOn w:val="a0"/>
    <w:next w:val="a6"/>
    <w:qFormat/>
    <w:rsid w:val="001607AB"/>
    <w:pPr>
      <w:numPr>
        <w:ilvl w:val="2"/>
      </w:numPr>
      <w:spacing w:beforeLines="50" w:before="50" w:afterLines="50" w:after="50"/>
      <w:outlineLvl w:val="1"/>
    </w:pPr>
  </w:style>
  <w:style w:type="paragraph" w:customStyle="1" w:styleId="a">
    <w:name w:val="前言标题"/>
    <w:next w:val="a6"/>
    <w:qFormat/>
    <w:rsid w:val="001607AB"/>
    <w:pPr>
      <w:numPr>
        <w:numId w:val="1"/>
      </w:num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f4">
    <w:name w:val="标准文件_字母编号列项（一级）"/>
    <w:qFormat/>
    <w:rsid w:val="001607AB"/>
    <w:pPr>
      <w:jc w:val="both"/>
    </w:pPr>
    <w:rPr>
      <w:rFonts w:ascii="宋体"/>
      <w:sz w:val="21"/>
    </w:rPr>
  </w:style>
  <w:style w:type="paragraph" w:styleId="af5">
    <w:name w:val="caption"/>
    <w:basedOn w:val="a6"/>
    <w:next w:val="a6"/>
    <w:unhideWhenUsed/>
    <w:qFormat/>
    <w:rsid w:val="00D731E3"/>
    <w:pPr>
      <w:adjustRightInd w:val="0"/>
      <w:spacing w:line="400" w:lineRule="exact"/>
    </w:pPr>
    <w:rPr>
      <w:rFonts w:ascii="等线 Light" w:eastAsia="黑体" w:hAnsi="等线 Light"/>
      <w:sz w:val="20"/>
      <w:szCs w:val="20"/>
    </w:rPr>
  </w:style>
  <w:style w:type="table" w:styleId="af6">
    <w:name w:val="Table Grid"/>
    <w:basedOn w:val="a8"/>
    <w:uiPriority w:val="39"/>
    <w:qFormat/>
    <w:rsid w:val="00D731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uiPriority w:val="99"/>
    <w:unhideWhenUsed/>
    <w:qFormat/>
    <w:rsid w:val="00D731E3"/>
    <w:rPr>
      <w:sz w:val="21"/>
      <w:szCs w:val="21"/>
    </w:rPr>
  </w:style>
  <w:style w:type="paragraph" w:customStyle="1" w:styleId="af8">
    <w:name w:val="标准文件_段"/>
    <w:link w:val="Char3"/>
    <w:qFormat/>
    <w:rsid w:val="00D731E3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3">
    <w:name w:val="标准文件_段 Char"/>
    <w:link w:val="af8"/>
    <w:qFormat/>
    <w:rsid w:val="00D731E3"/>
    <w:rPr>
      <w:rFonts w:ascii="宋体"/>
      <w:sz w:val="21"/>
      <w:lang w:bidi="ar-SA"/>
    </w:rPr>
  </w:style>
  <w:style w:type="paragraph" w:customStyle="1" w:styleId="af9">
    <w:name w:val="标准文件_术语条一"/>
    <w:basedOn w:val="a6"/>
    <w:next w:val="af8"/>
    <w:qFormat/>
    <w:rsid w:val="00D731E3"/>
    <w:pPr>
      <w:widowControl/>
      <w:numPr>
        <w:ilvl w:val="2"/>
        <w:numId w:val="2"/>
      </w:numPr>
    </w:pPr>
    <w:rPr>
      <w:rFonts w:ascii="宋体"/>
      <w:kern w:val="0"/>
      <w:szCs w:val="20"/>
    </w:rPr>
  </w:style>
  <w:style w:type="paragraph" w:customStyle="1" w:styleId="1">
    <w:name w:val="列出段落1"/>
    <w:basedOn w:val="a6"/>
    <w:uiPriority w:val="99"/>
    <w:qFormat/>
    <w:rsid w:val="00D731E3"/>
    <w:pPr>
      <w:adjustRightInd w:val="0"/>
      <w:spacing w:line="400" w:lineRule="exact"/>
      <w:ind w:firstLineChars="200" w:firstLine="420"/>
    </w:pPr>
    <w:rPr>
      <w:rFonts w:ascii="Calibri" w:hAnsi="Calibri"/>
      <w:szCs w:val="21"/>
    </w:rPr>
  </w:style>
  <w:style w:type="character" w:customStyle="1" w:styleId="font11">
    <w:name w:val="font11"/>
    <w:qFormat/>
    <w:rsid w:val="00D731E3"/>
    <w:rPr>
      <w:rFonts w:ascii="宋体" w:eastAsia="宋体" w:hAnsi="宋体" w:cs="宋体" w:hint="eastAsia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439</Words>
  <Characters>2507</Characters>
  <Application>Microsoft Office Word</Application>
  <DocSecurity>0</DocSecurity>
  <Lines>20</Lines>
  <Paragraphs>5</Paragraphs>
  <ScaleCrop>false</ScaleCrop>
  <Company>Microsoft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cp:lastModifiedBy>X L</cp:lastModifiedBy>
  <cp:revision>2</cp:revision>
  <cp:lastPrinted>2010-09-29T05:48:00Z</cp:lastPrinted>
  <dcterms:created xsi:type="dcterms:W3CDTF">2023-12-21T06:37:00Z</dcterms:created>
  <dcterms:modified xsi:type="dcterms:W3CDTF">2023-12-21T06:37:00Z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8D8B385F9B464BB0ABD67B6F9A5D93CF</vt:lpwstr>
  </property>
</Properties>
</file>